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DAAD2" w14:textId="77777777" w:rsidR="00EF78C1" w:rsidRDefault="00CC5396" w:rsidP="00CC5396">
      <w:pPr>
        <w:spacing w:line="240" w:lineRule="auto"/>
        <w:contextualSpacing/>
        <w:jc w:val="center"/>
        <w:rPr>
          <w:b/>
        </w:rPr>
      </w:pPr>
      <w:bookmarkStart w:id="0" w:name="_GoBack"/>
      <w:bookmarkEnd w:id="0"/>
      <w:r>
        <w:rPr>
          <w:b/>
        </w:rPr>
        <w:t>Employment by Preparation Area</w:t>
      </w:r>
    </w:p>
    <w:p w14:paraId="571F394B" w14:textId="77777777" w:rsidR="00CC5396" w:rsidRDefault="00CC5396" w:rsidP="00CC5396">
      <w:pPr>
        <w:spacing w:line="240" w:lineRule="auto"/>
        <w:contextualSpacing/>
        <w:jc w:val="center"/>
        <w:rPr>
          <w:b/>
        </w:rPr>
      </w:pPr>
    </w:p>
    <w:p w14:paraId="63E5C796" w14:textId="77777777" w:rsidR="00CC5396" w:rsidRDefault="00CC5396" w:rsidP="00CC5396">
      <w:pPr>
        <w:spacing w:line="240" w:lineRule="auto"/>
        <w:contextualSpacing/>
      </w:pPr>
      <w:r>
        <w:t>Using information supplied by the Kansas State Department of Education of EPP first-year completers teaching in PK-12 schools in the state of Kansas, the EPP determined the number of completers teaching in the content area for which they</w:t>
      </w:r>
      <w:r w:rsidR="00640623">
        <w:t xml:space="preserve"> were prepared. I</w:t>
      </w:r>
      <w:r>
        <w:t xml:space="preserve">nformation from KDSE </w:t>
      </w:r>
      <w:r w:rsidR="00640623">
        <w:t xml:space="preserve">over a two-year period </w:t>
      </w:r>
      <w:r>
        <w:t xml:space="preserve">indicated </w:t>
      </w:r>
      <w:r w:rsidR="00640623">
        <w:t>88</w:t>
      </w:r>
      <w:r>
        <w:t xml:space="preserve">% of the first-year completers reported were teaching in positions for which they were prepared by the EPP. Of the </w:t>
      </w:r>
      <w:r w:rsidR="00640623">
        <w:t>12</w:t>
      </w:r>
      <w:r>
        <w:t>% not teaching in the area for which they were prepared, they were identified as teaching seminar courses, miscellaneous courses, special education, English to Speakers of Other Languages, human services and religious education and theology.</w:t>
      </w:r>
    </w:p>
    <w:p w14:paraId="0126C16E" w14:textId="77777777" w:rsidR="00CC5396" w:rsidRDefault="00CC5396" w:rsidP="00CC5396">
      <w:pPr>
        <w:spacing w:line="240" w:lineRule="auto"/>
        <w:contextualSpacing/>
      </w:pPr>
    </w:p>
    <w:tbl>
      <w:tblPr>
        <w:tblStyle w:val="TableGrid"/>
        <w:tblW w:w="0" w:type="auto"/>
        <w:tblLook w:val="04A0" w:firstRow="1" w:lastRow="0" w:firstColumn="1" w:lastColumn="0" w:noHBand="0" w:noVBand="1"/>
      </w:tblPr>
      <w:tblGrid>
        <w:gridCol w:w="2064"/>
        <w:gridCol w:w="2372"/>
        <w:gridCol w:w="2457"/>
        <w:gridCol w:w="2457"/>
      </w:tblGrid>
      <w:tr w:rsidR="00CC5396" w14:paraId="41BC1666" w14:textId="77777777" w:rsidTr="00CC5396">
        <w:tc>
          <w:tcPr>
            <w:tcW w:w="2064" w:type="dxa"/>
            <w:shd w:val="clear" w:color="auto" w:fill="BFBFBF" w:themeFill="background1" w:themeFillShade="BF"/>
          </w:tcPr>
          <w:p w14:paraId="46D736B5" w14:textId="77777777" w:rsidR="00CC5396" w:rsidRPr="00CC5396" w:rsidRDefault="00CC5396" w:rsidP="00CC5396">
            <w:pPr>
              <w:contextualSpacing/>
              <w:rPr>
                <w:b/>
              </w:rPr>
            </w:pPr>
            <w:r>
              <w:rPr>
                <w:b/>
              </w:rPr>
              <w:t>Academic Year</w:t>
            </w:r>
          </w:p>
        </w:tc>
        <w:tc>
          <w:tcPr>
            <w:tcW w:w="2372" w:type="dxa"/>
            <w:shd w:val="clear" w:color="auto" w:fill="BFBFBF" w:themeFill="background1" w:themeFillShade="BF"/>
          </w:tcPr>
          <w:p w14:paraId="495A9BDD" w14:textId="77777777" w:rsidR="00CC5396" w:rsidRPr="00CC5396" w:rsidRDefault="00CC5396" w:rsidP="00CC5396">
            <w:pPr>
              <w:contextualSpacing/>
              <w:rPr>
                <w:b/>
              </w:rPr>
            </w:pPr>
            <w:r w:rsidRPr="00CC5396">
              <w:rPr>
                <w:b/>
              </w:rPr>
              <w:t>Total Number of First-Year Teachers Reported for EPP</w:t>
            </w:r>
          </w:p>
        </w:tc>
        <w:tc>
          <w:tcPr>
            <w:tcW w:w="2457" w:type="dxa"/>
            <w:shd w:val="clear" w:color="auto" w:fill="BFBFBF" w:themeFill="background1" w:themeFillShade="BF"/>
          </w:tcPr>
          <w:p w14:paraId="341A57FC" w14:textId="77777777" w:rsidR="00CC5396" w:rsidRPr="00CC5396" w:rsidRDefault="00CC5396" w:rsidP="00CC5396">
            <w:pPr>
              <w:contextualSpacing/>
              <w:rPr>
                <w:b/>
              </w:rPr>
            </w:pPr>
            <w:r w:rsidRPr="00CC5396">
              <w:rPr>
                <w:b/>
              </w:rPr>
              <w:t>Number of First-Year Teachers Employed in Position Aligning with Their Area of Licensure Preparation</w:t>
            </w:r>
          </w:p>
        </w:tc>
        <w:tc>
          <w:tcPr>
            <w:tcW w:w="2457" w:type="dxa"/>
            <w:shd w:val="clear" w:color="auto" w:fill="BFBFBF" w:themeFill="background1" w:themeFillShade="BF"/>
          </w:tcPr>
          <w:p w14:paraId="71AE2B32" w14:textId="77777777" w:rsidR="00CC5396" w:rsidRPr="00CC5396" w:rsidRDefault="00CC5396" w:rsidP="00CC5396">
            <w:pPr>
              <w:contextualSpacing/>
              <w:rPr>
                <w:b/>
              </w:rPr>
            </w:pPr>
            <w:r w:rsidRPr="00CC5396">
              <w:rPr>
                <w:b/>
              </w:rPr>
              <w:t>Number of First-Year Teachers Employed in a Position Other than Their Area of Licensure Preparation</w:t>
            </w:r>
          </w:p>
        </w:tc>
      </w:tr>
      <w:tr w:rsidR="00CC5396" w14:paraId="72138D77" w14:textId="77777777" w:rsidTr="00CC5396">
        <w:tc>
          <w:tcPr>
            <w:tcW w:w="2064" w:type="dxa"/>
            <w:shd w:val="clear" w:color="auto" w:fill="BFBFBF" w:themeFill="background1" w:themeFillShade="BF"/>
          </w:tcPr>
          <w:p w14:paraId="67B41CFF" w14:textId="77777777" w:rsidR="00CC5396" w:rsidRDefault="00CC5396" w:rsidP="00CC5396">
            <w:pPr>
              <w:contextualSpacing/>
              <w:rPr>
                <w:b/>
              </w:rPr>
            </w:pPr>
            <w:r>
              <w:rPr>
                <w:b/>
              </w:rPr>
              <w:t>2015-2016</w:t>
            </w:r>
          </w:p>
        </w:tc>
        <w:tc>
          <w:tcPr>
            <w:tcW w:w="2372" w:type="dxa"/>
            <w:shd w:val="clear" w:color="auto" w:fill="auto"/>
          </w:tcPr>
          <w:p w14:paraId="03C94998" w14:textId="77777777" w:rsidR="00CC5396" w:rsidRPr="00CC5396" w:rsidRDefault="00CC5396" w:rsidP="00CC5396">
            <w:pPr>
              <w:contextualSpacing/>
              <w:jc w:val="center"/>
              <w:rPr>
                <w:b/>
              </w:rPr>
            </w:pPr>
            <w:r>
              <w:rPr>
                <w:b/>
              </w:rPr>
              <w:t>158</w:t>
            </w:r>
          </w:p>
        </w:tc>
        <w:tc>
          <w:tcPr>
            <w:tcW w:w="2457" w:type="dxa"/>
            <w:shd w:val="clear" w:color="auto" w:fill="auto"/>
          </w:tcPr>
          <w:p w14:paraId="5C18EF5C" w14:textId="77777777" w:rsidR="00CC5396" w:rsidRPr="00CC5396" w:rsidRDefault="00CC5396" w:rsidP="00CC5396">
            <w:pPr>
              <w:contextualSpacing/>
              <w:jc w:val="center"/>
              <w:rPr>
                <w:b/>
              </w:rPr>
            </w:pPr>
            <w:r>
              <w:rPr>
                <w:b/>
              </w:rPr>
              <w:t>145</w:t>
            </w:r>
            <w:r w:rsidR="00640623">
              <w:rPr>
                <w:b/>
              </w:rPr>
              <w:t xml:space="preserve"> (91.8%)</w:t>
            </w:r>
          </w:p>
        </w:tc>
        <w:tc>
          <w:tcPr>
            <w:tcW w:w="2457" w:type="dxa"/>
            <w:shd w:val="clear" w:color="auto" w:fill="auto"/>
          </w:tcPr>
          <w:p w14:paraId="43A37D87" w14:textId="77777777" w:rsidR="00CC5396" w:rsidRPr="00CC5396" w:rsidRDefault="00CC5396" w:rsidP="00CC5396">
            <w:pPr>
              <w:contextualSpacing/>
              <w:jc w:val="center"/>
              <w:rPr>
                <w:b/>
              </w:rPr>
            </w:pPr>
            <w:r>
              <w:rPr>
                <w:b/>
              </w:rPr>
              <w:t>13</w:t>
            </w:r>
            <w:r w:rsidR="00640623">
              <w:rPr>
                <w:b/>
              </w:rPr>
              <w:t xml:space="preserve"> (8.2%)</w:t>
            </w:r>
          </w:p>
        </w:tc>
      </w:tr>
      <w:tr w:rsidR="00CC5396" w14:paraId="036ADE12" w14:textId="77777777" w:rsidTr="00CC5396">
        <w:tc>
          <w:tcPr>
            <w:tcW w:w="2064" w:type="dxa"/>
            <w:shd w:val="clear" w:color="auto" w:fill="BFBFBF" w:themeFill="background1" w:themeFillShade="BF"/>
          </w:tcPr>
          <w:p w14:paraId="7326FDDF" w14:textId="77777777" w:rsidR="00CC5396" w:rsidRDefault="00CC5396" w:rsidP="00CC5396">
            <w:pPr>
              <w:contextualSpacing/>
              <w:rPr>
                <w:b/>
              </w:rPr>
            </w:pPr>
            <w:r>
              <w:rPr>
                <w:b/>
              </w:rPr>
              <w:t>2016-2017</w:t>
            </w:r>
          </w:p>
        </w:tc>
        <w:tc>
          <w:tcPr>
            <w:tcW w:w="2372" w:type="dxa"/>
            <w:shd w:val="clear" w:color="auto" w:fill="auto"/>
          </w:tcPr>
          <w:p w14:paraId="39E646BA" w14:textId="77777777" w:rsidR="00CC5396" w:rsidRDefault="00640623" w:rsidP="00CC5396">
            <w:pPr>
              <w:contextualSpacing/>
              <w:jc w:val="center"/>
              <w:rPr>
                <w:b/>
              </w:rPr>
            </w:pPr>
            <w:r>
              <w:rPr>
                <w:b/>
              </w:rPr>
              <w:t>171</w:t>
            </w:r>
          </w:p>
        </w:tc>
        <w:tc>
          <w:tcPr>
            <w:tcW w:w="2457" w:type="dxa"/>
            <w:shd w:val="clear" w:color="auto" w:fill="auto"/>
          </w:tcPr>
          <w:p w14:paraId="52342B01" w14:textId="77777777" w:rsidR="00CC5396" w:rsidRDefault="00640623" w:rsidP="00CC5396">
            <w:pPr>
              <w:contextualSpacing/>
              <w:jc w:val="center"/>
              <w:rPr>
                <w:b/>
              </w:rPr>
            </w:pPr>
            <w:r>
              <w:rPr>
                <w:b/>
              </w:rPr>
              <w:t>144 (84.2%)</w:t>
            </w:r>
          </w:p>
        </w:tc>
        <w:tc>
          <w:tcPr>
            <w:tcW w:w="2457" w:type="dxa"/>
            <w:shd w:val="clear" w:color="auto" w:fill="auto"/>
          </w:tcPr>
          <w:p w14:paraId="3662B29C" w14:textId="77777777" w:rsidR="00CC5396" w:rsidRDefault="00640623" w:rsidP="00CC5396">
            <w:pPr>
              <w:contextualSpacing/>
              <w:jc w:val="center"/>
              <w:rPr>
                <w:b/>
              </w:rPr>
            </w:pPr>
            <w:r>
              <w:rPr>
                <w:b/>
              </w:rPr>
              <w:t>27 (15.8%)</w:t>
            </w:r>
          </w:p>
        </w:tc>
      </w:tr>
      <w:tr w:rsidR="00640623" w14:paraId="48D6FC12" w14:textId="77777777" w:rsidTr="00CC5396">
        <w:tc>
          <w:tcPr>
            <w:tcW w:w="2064" w:type="dxa"/>
            <w:shd w:val="clear" w:color="auto" w:fill="BFBFBF" w:themeFill="background1" w:themeFillShade="BF"/>
          </w:tcPr>
          <w:p w14:paraId="35D61262" w14:textId="77777777" w:rsidR="00640623" w:rsidRDefault="00640623" w:rsidP="00CC5396">
            <w:pPr>
              <w:contextualSpacing/>
              <w:rPr>
                <w:b/>
              </w:rPr>
            </w:pPr>
            <w:r>
              <w:rPr>
                <w:b/>
              </w:rPr>
              <w:t>Two-Year Mean %</w:t>
            </w:r>
          </w:p>
        </w:tc>
        <w:tc>
          <w:tcPr>
            <w:tcW w:w="2372" w:type="dxa"/>
            <w:shd w:val="clear" w:color="auto" w:fill="auto"/>
          </w:tcPr>
          <w:p w14:paraId="708C1C21" w14:textId="77777777" w:rsidR="00640623" w:rsidRDefault="00640623" w:rsidP="00CC5396">
            <w:pPr>
              <w:contextualSpacing/>
              <w:jc w:val="center"/>
              <w:rPr>
                <w:b/>
              </w:rPr>
            </w:pPr>
          </w:p>
        </w:tc>
        <w:tc>
          <w:tcPr>
            <w:tcW w:w="2457" w:type="dxa"/>
            <w:shd w:val="clear" w:color="auto" w:fill="auto"/>
          </w:tcPr>
          <w:p w14:paraId="4A2018B8" w14:textId="77777777" w:rsidR="00640623" w:rsidRDefault="00640623" w:rsidP="00CC5396">
            <w:pPr>
              <w:contextualSpacing/>
              <w:jc w:val="center"/>
              <w:rPr>
                <w:b/>
              </w:rPr>
            </w:pPr>
            <w:r>
              <w:rPr>
                <w:b/>
              </w:rPr>
              <w:t>88%</w:t>
            </w:r>
          </w:p>
        </w:tc>
        <w:tc>
          <w:tcPr>
            <w:tcW w:w="2457" w:type="dxa"/>
            <w:shd w:val="clear" w:color="auto" w:fill="auto"/>
          </w:tcPr>
          <w:p w14:paraId="4C613910" w14:textId="77777777" w:rsidR="00640623" w:rsidRDefault="00640623" w:rsidP="00CC5396">
            <w:pPr>
              <w:contextualSpacing/>
              <w:jc w:val="center"/>
              <w:rPr>
                <w:b/>
              </w:rPr>
            </w:pPr>
            <w:r>
              <w:rPr>
                <w:b/>
              </w:rPr>
              <w:t>12%</w:t>
            </w:r>
          </w:p>
        </w:tc>
      </w:tr>
    </w:tbl>
    <w:p w14:paraId="7A910F89" w14:textId="77777777" w:rsidR="00CC5396" w:rsidRPr="00CC5396" w:rsidRDefault="00CC5396" w:rsidP="00CC5396">
      <w:pPr>
        <w:spacing w:line="240" w:lineRule="auto"/>
        <w:contextualSpacing/>
      </w:pPr>
    </w:p>
    <w:sectPr w:rsidR="00CC5396" w:rsidRPr="00CC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96"/>
    <w:rsid w:val="004902F3"/>
    <w:rsid w:val="005F34F8"/>
    <w:rsid w:val="00640623"/>
    <w:rsid w:val="00B2747F"/>
    <w:rsid w:val="00CC5396"/>
    <w:rsid w:val="00E9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7EEF"/>
  <w15:chartTrackingRefBased/>
  <w15:docId w15:val="{AD8A0638-3446-4FFA-817F-8E15DE24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Brewer</dc:creator>
  <cp:keywords/>
  <dc:description/>
  <cp:lastModifiedBy>Terri Kaiser</cp:lastModifiedBy>
  <cp:revision>2</cp:revision>
  <dcterms:created xsi:type="dcterms:W3CDTF">2019-04-18T18:05:00Z</dcterms:created>
  <dcterms:modified xsi:type="dcterms:W3CDTF">2019-04-18T18:05:00Z</dcterms:modified>
</cp:coreProperties>
</file>