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39D79" w14:textId="77777777" w:rsidR="00FE26C5" w:rsidRDefault="00631E3F" w:rsidP="008C5C43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631E3F">
        <w:rPr>
          <w:b/>
        </w:rPr>
        <w:t>Retention of EPP Completers in PK-12 Schools</w:t>
      </w:r>
      <w:r>
        <w:rPr>
          <w:b/>
        </w:rPr>
        <w:t xml:space="preserve"> in Kansas</w:t>
      </w:r>
    </w:p>
    <w:p w14:paraId="2B9D3A39" w14:textId="77777777" w:rsidR="00E13392" w:rsidRDefault="00E13392" w:rsidP="008C5C43">
      <w:pPr>
        <w:spacing w:line="240" w:lineRule="auto"/>
        <w:contextualSpacing/>
        <w:jc w:val="center"/>
        <w:rPr>
          <w:b/>
        </w:rPr>
      </w:pPr>
    </w:p>
    <w:p w14:paraId="49CF5B92" w14:textId="77777777" w:rsidR="00631E3F" w:rsidRPr="008C5C43" w:rsidRDefault="009225E5" w:rsidP="00FE26C5">
      <w:pPr>
        <w:spacing w:line="240" w:lineRule="auto"/>
        <w:contextualSpacing/>
        <w:rPr>
          <w:sz w:val="20"/>
          <w:szCs w:val="20"/>
        </w:rPr>
      </w:pPr>
      <w:r w:rsidRPr="008C5C43">
        <w:rPr>
          <w:sz w:val="20"/>
          <w:szCs w:val="20"/>
        </w:rPr>
        <w:t xml:space="preserve">The following tables provide retention rates of EPP completers from 2009-2014 in PK-12 schools in Kansas. Data </w:t>
      </w:r>
      <w:r w:rsidR="00E13392">
        <w:rPr>
          <w:sz w:val="20"/>
          <w:szCs w:val="20"/>
        </w:rPr>
        <w:t xml:space="preserve">are disaggregated by level and </w:t>
      </w:r>
      <w:r w:rsidRPr="008C5C43">
        <w:rPr>
          <w:sz w:val="20"/>
          <w:szCs w:val="20"/>
        </w:rPr>
        <w:t xml:space="preserve">were provided by the Kansas State Department of Education. </w:t>
      </w:r>
      <w:r w:rsidR="008C5C43" w:rsidRPr="008C5C43">
        <w:rPr>
          <w:sz w:val="20"/>
          <w:szCs w:val="20"/>
        </w:rPr>
        <w:t xml:space="preserve">More current data has been requested but has not yet been received by the EPP. </w:t>
      </w:r>
      <w:r w:rsidRPr="008C5C43">
        <w:rPr>
          <w:sz w:val="20"/>
          <w:szCs w:val="20"/>
        </w:rPr>
        <w:t xml:space="preserve">Based on the Kansas Commissioner of Education’s Blue Ribbon Task Force on Teacher Vacancies and Supply Final Report (source: </w:t>
      </w:r>
      <w:hyperlink r:id="rId4" w:history="1">
        <w:r w:rsidRPr="008C5C43">
          <w:rPr>
            <w:rStyle w:val="Hyperlink"/>
            <w:sz w:val="20"/>
            <w:szCs w:val="20"/>
          </w:rPr>
          <w:t>http://www.ksde.org/Portals/0/Communications/Publications/BRTF%20Final.pdf</w:t>
        </w:r>
      </w:hyperlink>
      <w:r w:rsidRPr="008C5C43">
        <w:rPr>
          <w:sz w:val="20"/>
          <w:szCs w:val="20"/>
        </w:rPr>
        <w:t xml:space="preserve">), </w:t>
      </w:r>
      <w:r w:rsidR="007E6DCC" w:rsidRPr="008C5C43">
        <w:rPr>
          <w:sz w:val="20"/>
          <w:szCs w:val="20"/>
        </w:rPr>
        <w:t xml:space="preserve">the five year teacher retention rate for new teachers hired in Kansas in 2011-2012 is 81.12%. </w:t>
      </w:r>
      <w:r w:rsidR="008C5C43" w:rsidRPr="008C5C43">
        <w:rPr>
          <w:sz w:val="20"/>
          <w:szCs w:val="20"/>
        </w:rPr>
        <w:t>Based on the data in the tables below, the EPP has</w:t>
      </w:r>
      <w:r w:rsidR="005D5415">
        <w:rPr>
          <w:sz w:val="20"/>
          <w:szCs w:val="20"/>
        </w:rPr>
        <w:t xml:space="preserve"> mean</w:t>
      </w:r>
      <w:r w:rsidR="008C5C43" w:rsidRPr="008C5C43">
        <w:rPr>
          <w:sz w:val="20"/>
          <w:szCs w:val="20"/>
        </w:rPr>
        <w:t xml:space="preserve"> five year retention rates of 106.2% for elementary and 98.98% for secondary completers. The EPP </w:t>
      </w:r>
      <w:r w:rsidR="005D5415">
        <w:rPr>
          <w:sz w:val="20"/>
          <w:szCs w:val="20"/>
        </w:rPr>
        <w:t xml:space="preserve">mean </w:t>
      </w:r>
      <w:r w:rsidR="008C5C43" w:rsidRPr="008C5C43">
        <w:rPr>
          <w:sz w:val="20"/>
          <w:szCs w:val="20"/>
        </w:rPr>
        <w:t>retention rate for completers who stay in teaching for at least five years is higher than the state average.</w:t>
      </w:r>
      <w:r w:rsidR="00E24202">
        <w:rPr>
          <w:sz w:val="20"/>
          <w:szCs w:val="20"/>
        </w:rPr>
        <w:t xml:space="preserve"> </w:t>
      </w:r>
    </w:p>
    <w:p w14:paraId="32F8D917" w14:textId="77777777" w:rsidR="00631E3F" w:rsidRDefault="00631E3F" w:rsidP="00FE26C5">
      <w:pPr>
        <w:spacing w:line="240" w:lineRule="auto"/>
        <w:contextualSpacing/>
        <w:rPr>
          <w:b/>
        </w:rPr>
      </w:pPr>
    </w:p>
    <w:p w14:paraId="0FAD1429" w14:textId="77777777" w:rsidR="00FE26C5" w:rsidRPr="008C5C43" w:rsidRDefault="00FE26C5" w:rsidP="00FE26C5">
      <w:pPr>
        <w:spacing w:line="240" w:lineRule="auto"/>
        <w:contextualSpacing/>
        <w:rPr>
          <w:b/>
          <w:sz w:val="20"/>
          <w:szCs w:val="20"/>
        </w:rPr>
      </w:pPr>
      <w:r w:rsidRPr="008C5C43">
        <w:rPr>
          <w:b/>
          <w:sz w:val="20"/>
          <w:szCs w:val="20"/>
        </w:rPr>
        <w:t>Table 1.0: Retention of Emporia State University Elementary Teachers in the State of Kansas 2009-2014</w:t>
      </w:r>
    </w:p>
    <w:p w14:paraId="7DEB2356" w14:textId="77777777" w:rsidR="00FE26C5" w:rsidRPr="008C5C43" w:rsidRDefault="00FE26C5" w:rsidP="00FE26C5">
      <w:pPr>
        <w:rPr>
          <w:sz w:val="20"/>
          <w:szCs w:val="20"/>
        </w:rPr>
      </w:pPr>
      <w:proofErr w:type="gramStart"/>
      <w:r w:rsidRPr="008C5C43">
        <w:rPr>
          <w:sz w:val="20"/>
          <w:szCs w:val="20"/>
        </w:rPr>
        <w:t>5 year</w:t>
      </w:r>
      <w:proofErr w:type="gramEnd"/>
      <w:r w:rsidRPr="008C5C43">
        <w:rPr>
          <w:sz w:val="20"/>
          <w:szCs w:val="20"/>
        </w:rPr>
        <w:t xml:space="preserve"> retention average for EPP Elementary Completers: </w:t>
      </w:r>
      <w:r w:rsidR="00631E3F" w:rsidRPr="008C5C43">
        <w:rPr>
          <w:sz w:val="20"/>
          <w:szCs w:val="20"/>
        </w:rPr>
        <w:t>(106.2%)</w:t>
      </w:r>
      <w:r w:rsidRPr="008C5C43">
        <w:rPr>
          <w:b/>
          <w:sz w:val="20"/>
          <w:szCs w:val="20"/>
        </w:rPr>
        <w:fldChar w:fldCharType="begin"/>
      </w:r>
      <w:r w:rsidRPr="008C5C43">
        <w:rPr>
          <w:b/>
          <w:sz w:val="20"/>
          <w:szCs w:val="20"/>
        </w:rPr>
        <w:instrText xml:space="preserve"> LINK Excel.Sheet.12 "C:\\Users\\jbrewer\\AppData\\Local\\Microsoft\\Windows\\Temporary Internet Files\\Content.Outlook\\DLEBQN0D\\ESU Secondary Teacher Retention.xlsx" "Primary!R2C1:R14C12" \a \f 5 \h  \* MERGEFORMAT </w:instrText>
      </w:r>
      <w:r w:rsidRPr="008C5C43">
        <w:rPr>
          <w:b/>
          <w:sz w:val="20"/>
          <w:szCs w:val="20"/>
        </w:rPr>
        <w:fldChar w:fldCharType="separate"/>
      </w:r>
    </w:p>
    <w:tbl>
      <w:tblPr>
        <w:tblStyle w:val="TableGrid"/>
        <w:tblW w:w="12365" w:type="dxa"/>
        <w:tblLook w:val="04A0" w:firstRow="1" w:lastRow="0" w:firstColumn="1" w:lastColumn="0" w:noHBand="0" w:noVBand="1"/>
      </w:tblPr>
      <w:tblGrid>
        <w:gridCol w:w="989"/>
        <w:gridCol w:w="1237"/>
        <w:gridCol w:w="1237"/>
        <w:gridCol w:w="990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FE26C5" w:rsidRPr="008C5C43" w14:paraId="5188F066" w14:textId="77777777" w:rsidTr="00631E3F">
        <w:trPr>
          <w:trHeight w:val="303"/>
        </w:trPr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40B78E28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  <w:noWrap/>
            <w:hideMark/>
          </w:tcPr>
          <w:p w14:paraId="5CD56E5E" w14:textId="77777777" w:rsidR="00FE26C5" w:rsidRPr="008C5C43" w:rsidRDefault="00FE26C5" w:rsidP="00FE26C5">
            <w:pPr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# of Graduates</w:t>
            </w:r>
          </w:p>
        </w:tc>
        <w:tc>
          <w:tcPr>
            <w:tcW w:w="2227" w:type="dxa"/>
            <w:gridSpan w:val="2"/>
            <w:shd w:val="clear" w:color="auto" w:fill="BFBFBF" w:themeFill="background1" w:themeFillShade="BF"/>
            <w:noWrap/>
            <w:hideMark/>
          </w:tcPr>
          <w:p w14:paraId="02F80430" w14:textId="77777777" w:rsidR="00FE26C5" w:rsidRPr="008C5C43" w:rsidRDefault="00FE26C5">
            <w:pPr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# Employed/</w:t>
            </w:r>
          </w:p>
          <w:p w14:paraId="7FC55876" w14:textId="77777777" w:rsidR="00FE26C5" w:rsidRPr="008C5C43" w:rsidRDefault="00FE26C5">
            <w:pPr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% Retained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50DF9B75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2D5BBA56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33083F1F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5E6A65D8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32D20AA7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3EEF73D2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033B2040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0E50EC61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</w:tr>
      <w:tr w:rsidR="00631E3F" w:rsidRPr="008C5C43" w14:paraId="73E62780" w14:textId="77777777" w:rsidTr="00631E3F">
        <w:trPr>
          <w:trHeight w:val="303"/>
        </w:trPr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0D7B5B84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  <w:noWrap/>
            <w:hideMark/>
          </w:tcPr>
          <w:p w14:paraId="50727DFD" w14:textId="77777777" w:rsidR="00FE26C5" w:rsidRPr="008C5C43" w:rsidRDefault="00FE26C5">
            <w:pPr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BFBFBF" w:themeFill="background1" w:themeFillShade="BF"/>
            <w:noWrap/>
            <w:hideMark/>
          </w:tcPr>
          <w:p w14:paraId="5358451A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2005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7C5FC963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2006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01BDDE18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6BFDED66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0789421E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37BA3E35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7EF151C4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0ADAB63B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038DA9D0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989" w:type="dxa"/>
            <w:shd w:val="clear" w:color="auto" w:fill="BFBFBF" w:themeFill="background1" w:themeFillShade="BF"/>
            <w:noWrap/>
            <w:hideMark/>
          </w:tcPr>
          <w:p w14:paraId="6CB842C3" w14:textId="77777777" w:rsidR="00FE26C5" w:rsidRPr="008C5C43" w:rsidRDefault="00FE26C5" w:rsidP="00631E3F">
            <w:pPr>
              <w:jc w:val="center"/>
              <w:rPr>
                <w:b/>
                <w:sz w:val="20"/>
                <w:szCs w:val="20"/>
              </w:rPr>
            </w:pPr>
            <w:r w:rsidRPr="008C5C43">
              <w:rPr>
                <w:b/>
                <w:sz w:val="20"/>
                <w:szCs w:val="20"/>
              </w:rPr>
              <w:t>2014</w:t>
            </w:r>
          </w:p>
        </w:tc>
      </w:tr>
      <w:tr w:rsidR="00FE26C5" w:rsidRPr="008C5C43" w14:paraId="3F1BE64E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5F8652A8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237" w:type="dxa"/>
            <w:noWrap/>
            <w:hideMark/>
          </w:tcPr>
          <w:p w14:paraId="3F1DEC4B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119</w:t>
            </w:r>
          </w:p>
        </w:tc>
        <w:tc>
          <w:tcPr>
            <w:tcW w:w="1237" w:type="dxa"/>
            <w:noWrap/>
            <w:hideMark/>
          </w:tcPr>
          <w:p w14:paraId="79FEDD59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80</w:t>
            </w:r>
          </w:p>
        </w:tc>
        <w:tc>
          <w:tcPr>
            <w:tcW w:w="989" w:type="dxa"/>
            <w:noWrap/>
            <w:hideMark/>
          </w:tcPr>
          <w:p w14:paraId="417E92F2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83</w:t>
            </w:r>
          </w:p>
          <w:p w14:paraId="2FD8323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(103%)</w:t>
            </w:r>
          </w:p>
        </w:tc>
        <w:tc>
          <w:tcPr>
            <w:tcW w:w="989" w:type="dxa"/>
            <w:noWrap/>
            <w:hideMark/>
          </w:tcPr>
          <w:p w14:paraId="140C56A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92</w:t>
            </w:r>
          </w:p>
          <w:p w14:paraId="3866291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(115%)</w:t>
            </w:r>
          </w:p>
        </w:tc>
        <w:tc>
          <w:tcPr>
            <w:tcW w:w="989" w:type="dxa"/>
            <w:noWrap/>
            <w:hideMark/>
          </w:tcPr>
          <w:p w14:paraId="4243A6C2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89</w:t>
            </w:r>
          </w:p>
          <w:p w14:paraId="386131E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(111%)</w:t>
            </w:r>
          </w:p>
        </w:tc>
        <w:tc>
          <w:tcPr>
            <w:tcW w:w="989" w:type="dxa"/>
            <w:noWrap/>
            <w:hideMark/>
          </w:tcPr>
          <w:p w14:paraId="03C5159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89</w:t>
            </w:r>
          </w:p>
          <w:p w14:paraId="3AD9CFB8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(111%)</w:t>
            </w:r>
          </w:p>
        </w:tc>
        <w:tc>
          <w:tcPr>
            <w:tcW w:w="989" w:type="dxa"/>
            <w:noWrap/>
            <w:hideMark/>
          </w:tcPr>
          <w:p w14:paraId="51029079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91</w:t>
            </w:r>
          </w:p>
          <w:p w14:paraId="6A6D487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(114%)</w:t>
            </w:r>
          </w:p>
        </w:tc>
        <w:tc>
          <w:tcPr>
            <w:tcW w:w="989" w:type="dxa"/>
            <w:noWrap/>
            <w:hideMark/>
          </w:tcPr>
          <w:p w14:paraId="7D832878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88</w:t>
            </w:r>
          </w:p>
          <w:p w14:paraId="2BB478DC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(110%)</w:t>
            </w:r>
          </w:p>
        </w:tc>
        <w:tc>
          <w:tcPr>
            <w:tcW w:w="989" w:type="dxa"/>
            <w:noWrap/>
            <w:hideMark/>
          </w:tcPr>
          <w:p w14:paraId="458D4DB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86</w:t>
            </w:r>
          </w:p>
          <w:p w14:paraId="58EC1FE1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(108%)</w:t>
            </w:r>
          </w:p>
        </w:tc>
        <w:tc>
          <w:tcPr>
            <w:tcW w:w="989" w:type="dxa"/>
            <w:noWrap/>
            <w:hideMark/>
          </w:tcPr>
          <w:p w14:paraId="758FDAD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79</w:t>
            </w:r>
          </w:p>
          <w:p w14:paraId="2ACC7893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(98.8%)</w:t>
            </w:r>
          </w:p>
        </w:tc>
        <w:tc>
          <w:tcPr>
            <w:tcW w:w="989" w:type="dxa"/>
            <w:noWrap/>
            <w:hideMark/>
          </w:tcPr>
          <w:p w14:paraId="013A780C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83</w:t>
            </w:r>
          </w:p>
          <w:p w14:paraId="3B1C134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(104%)</w:t>
            </w:r>
          </w:p>
        </w:tc>
      </w:tr>
      <w:tr w:rsidR="00FE26C5" w:rsidRPr="008C5C43" w14:paraId="1B128FA3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2C5F1208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237" w:type="dxa"/>
            <w:noWrap/>
            <w:hideMark/>
          </w:tcPr>
          <w:p w14:paraId="564392A0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118</w:t>
            </w:r>
          </w:p>
        </w:tc>
        <w:tc>
          <w:tcPr>
            <w:tcW w:w="1237" w:type="dxa"/>
            <w:noWrap/>
            <w:hideMark/>
          </w:tcPr>
          <w:p w14:paraId="795CD62B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79912BD9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88</w:t>
            </w:r>
          </w:p>
        </w:tc>
        <w:tc>
          <w:tcPr>
            <w:tcW w:w="989" w:type="dxa"/>
            <w:noWrap/>
            <w:hideMark/>
          </w:tcPr>
          <w:p w14:paraId="514C2A5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104</w:t>
            </w:r>
          </w:p>
          <w:p w14:paraId="7200B42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(118%)</w:t>
            </w:r>
          </w:p>
        </w:tc>
        <w:tc>
          <w:tcPr>
            <w:tcW w:w="989" w:type="dxa"/>
            <w:noWrap/>
            <w:hideMark/>
          </w:tcPr>
          <w:p w14:paraId="200C1BA1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99</w:t>
            </w:r>
          </w:p>
          <w:p w14:paraId="0B8CB2D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(113%)</w:t>
            </w:r>
          </w:p>
        </w:tc>
        <w:tc>
          <w:tcPr>
            <w:tcW w:w="989" w:type="dxa"/>
            <w:noWrap/>
            <w:hideMark/>
          </w:tcPr>
          <w:p w14:paraId="2FB613F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100</w:t>
            </w:r>
          </w:p>
          <w:p w14:paraId="77298CA0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(114%)</w:t>
            </w:r>
          </w:p>
        </w:tc>
        <w:tc>
          <w:tcPr>
            <w:tcW w:w="989" w:type="dxa"/>
            <w:noWrap/>
            <w:hideMark/>
          </w:tcPr>
          <w:p w14:paraId="1004CD6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100</w:t>
            </w:r>
          </w:p>
          <w:p w14:paraId="2349159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(114%)</w:t>
            </w:r>
          </w:p>
        </w:tc>
        <w:tc>
          <w:tcPr>
            <w:tcW w:w="989" w:type="dxa"/>
            <w:noWrap/>
            <w:hideMark/>
          </w:tcPr>
          <w:p w14:paraId="45CD9FD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99</w:t>
            </w:r>
          </w:p>
          <w:p w14:paraId="7C79C31C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(113%)</w:t>
            </w:r>
          </w:p>
        </w:tc>
        <w:tc>
          <w:tcPr>
            <w:tcW w:w="989" w:type="dxa"/>
            <w:noWrap/>
            <w:hideMark/>
          </w:tcPr>
          <w:p w14:paraId="663EF85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97</w:t>
            </w:r>
          </w:p>
          <w:p w14:paraId="18CAF6E8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(110%)</w:t>
            </w:r>
          </w:p>
        </w:tc>
        <w:tc>
          <w:tcPr>
            <w:tcW w:w="989" w:type="dxa"/>
            <w:noWrap/>
            <w:hideMark/>
          </w:tcPr>
          <w:p w14:paraId="3D6EE412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94</w:t>
            </w:r>
          </w:p>
          <w:p w14:paraId="62304C72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(107%</w:t>
            </w:r>
          </w:p>
        </w:tc>
        <w:tc>
          <w:tcPr>
            <w:tcW w:w="989" w:type="dxa"/>
            <w:noWrap/>
            <w:hideMark/>
          </w:tcPr>
          <w:p w14:paraId="71F19D4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90</w:t>
            </w:r>
          </w:p>
          <w:p w14:paraId="5D2CCF1E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(102%)</w:t>
            </w:r>
          </w:p>
        </w:tc>
      </w:tr>
      <w:tr w:rsidR="00FE26C5" w:rsidRPr="008C5C43" w14:paraId="2E82DBA0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321D1C9C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237" w:type="dxa"/>
            <w:noWrap/>
            <w:hideMark/>
          </w:tcPr>
          <w:p w14:paraId="21DF4F9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143</w:t>
            </w:r>
          </w:p>
        </w:tc>
        <w:tc>
          <w:tcPr>
            <w:tcW w:w="1237" w:type="dxa"/>
            <w:noWrap/>
            <w:hideMark/>
          </w:tcPr>
          <w:p w14:paraId="0EFCE8D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177D2E30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3861B61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118</w:t>
            </w:r>
          </w:p>
        </w:tc>
        <w:tc>
          <w:tcPr>
            <w:tcW w:w="989" w:type="dxa"/>
            <w:noWrap/>
            <w:hideMark/>
          </w:tcPr>
          <w:p w14:paraId="179445B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127</w:t>
            </w:r>
          </w:p>
          <w:p w14:paraId="2E4416EA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(108%)</w:t>
            </w:r>
          </w:p>
        </w:tc>
        <w:tc>
          <w:tcPr>
            <w:tcW w:w="989" w:type="dxa"/>
            <w:noWrap/>
            <w:hideMark/>
          </w:tcPr>
          <w:p w14:paraId="052FCBC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128</w:t>
            </w:r>
          </w:p>
          <w:p w14:paraId="15A950AF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(108%)</w:t>
            </w:r>
          </w:p>
        </w:tc>
        <w:tc>
          <w:tcPr>
            <w:tcW w:w="989" w:type="dxa"/>
            <w:noWrap/>
            <w:hideMark/>
          </w:tcPr>
          <w:p w14:paraId="1B8916A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132</w:t>
            </w:r>
          </w:p>
          <w:p w14:paraId="7537C12A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(112%)</w:t>
            </w:r>
          </w:p>
        </w:tc>
        <w:tc>
          <w:tcPr>
            <w:tcW w:w="989" w:type="dxa"/>
            <w:noWrap/>
            <w:hideMark/>
          </w:tcPr>
          <w:p w14:paraId="76FA4BA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122</w:t>
            </w:r>
          </w:p>
          <w:p w14:paraId="7B367A46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(103%)</w:t>
            </w:r>
          </w:p>
        </w:tc>
        <w:tc>
          <w:tcPr>
            <w:tcW w:w="989" w:type="dxa"/>
            <w:noWrap/>
            <w:hideMark/>
          </w:tcPr>
          <w:p w14:paraId="73FDB973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117</w:t>
            </w:r>
          </w:p>
          <w:p w14:paraId="67C071E0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(99.1%)</w:t>
            </w:r>
          </w:p>
        </w:tc>
        <w:tc>
          <w:tcPr>
            <w:tcW w:w="989" w:type="dxa"/>
            <w:noWrap/>
            <w:hideMark/>
          </w:tcPr>
          <w:p w14:paraId="5CDD9D61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120</w:t>
            </w:r>
          </w:p>
          <w:p w14:paraId="3CEB6782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(102%)</w:t>
            </w:r>
          </w:p>
        </w:tc>
        <w:tc>
          <w:tcPr>
            <w:tcW w:w="989" w:type="dxa"/>
            <w:noWrap/>
            <w:hideMark/>
          </w:tcPr>
          <w:p w14:paraId="2DEEB4D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121</w:t>
            </w:r>
          </w:p>
          <w:p w14:paraId="399BF13F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(103%)</w:t>
            </w:r>
          </w:p>
        </w:tc>
      </w:tr>
      <w:tr w:rsidR="00FE26C5" w:rsidRPr="008C5C43" w14:paraId="3BD6B774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6D304584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237" w:type="dxa"/>
            <w:noWrap/>
            <w:hideMark/>
          </w:tcPr>
          <w:p w14:paraId="6FE7C23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121</w:t>
            </w:r>
          </w:p>
        </w:tc>
        <w:tc>
          <w:tcPr>
            <w:tcW w:w="1237" w:type="dxa"/>
            <w:noWrap/>
            <w:hideMark/>
          </w:tcPr>
          <w:p w14:paraId="29130CD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5AE0E2A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065251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434CFB89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95</w:t>
            </w:r>
          </w:p>
        </w:tc>
        <w:tc>
          <w:tcPr>
            <w:tcW w:w="989" w:type="dxa"/>
            <w:noWrap/>
            <w:hideMark/>
          </w:tcPr>
          <w:p w14:paraId="7B5A8D3C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97</w:t>
            </w:r>
          </w:p>
          <w:p w14:paraId="5BE9368C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(102%)</w:t>
            </w:r>
          </w:p>
        </w:tc>
        <w:tc>
          <w:tcPr>
            <w:tcW w:w="989" w:type="dxa"/>
            <w:noWrap/>
            <w:hideMark/>
          </w:tcPr>
          <w:p w14:paraId="1CDE8D8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102</w:t>
            </w:r>
          </w:p>
          <w:p w14:paraId="20E82067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(107%)</w:t>
            </w:r>
          </w:p>
        </w:tc>
        <w:tc>
          <w:tcPr>
            <w:tcW w:w="989" w:type="dxa"/>
            <w:noWrap/>
            <w:hideMark/>
          </w:tcPr>
          <w:p w14:paraId="042FD74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93</w:t>
            </w:r>
          </w:p>
          <w:p w14:paraId="3A6279B0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(97.9%)</w:t>
            </w:r>
          </w:p>
        </w:tc>
        <w:tc>
          <w:tcPr>
            <w:tcW w:w="989" w:type="dxa"/>
            <w:noWrap/>
            <w:hideMark/>
          </w:tcPr>
          <w:p w14:paraId="6EE325E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90</w:t>
            </w:r>
          </w:p>
          <w:p w14:paraId="1B33293A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(94.7)</w:t>
            </w:r>
          </w:p>
        </w:tc>
        <w:tc>
          <w:tcPr>
            <w:tcW w:w="989" w:type="dxa"/>
            <w:noWrap/>
            <w:hideMark/>
          </w:tcPr>
          <w:p w14:paraId="14C1630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93</w:t>
            </w:r>
          </w:p>
          <w:p w14:paraId="5A00A58F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(97.9%)</w:t>
            </w:r>
          </w:p>
        </w:tc>
        <w:tc>
          <w:tcPr>
            <w:tcW w:w="989" w:type="dxa"/>
            <w:noWrap/>
            <w:hideMark/>
          </w:tcPr>
          <w:p w14:paraId="65DC4A9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86</w:t>
            </w:r>
          </w:p>
          <w:p w14:paraId="4F279046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(90.5%)</w:t>
            </w:r>
          </w:p>
        </w:tc>
      </w:tr>
      <w:tr w:rsidR="00FE26C5" w:rsidRPr="008C5C43" w14:paraId="33FA7270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3748B7CE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237" w:type="dxa"/>
            <w:noWrap/>
            <w:hideMark/>
          </w:tcPr>
          <w:p w14:paraId="7BC02B6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140</w:t>
            </w:r>
          </w:p>
        </w:tc>
        <w:tc>
          <w:tcPr>
            <w:tcW w:w="1237" w:type="dxa"/>
            <w:noWrap/>
            <w:hideMark/>
          </w:tcPr>
          <w:p w14:paraId="164F13C0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72B558BB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3219EFA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80C8F80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4E9D83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114</w:t>
            </w:r>
          </w:p>
        </w:tc>
        <w:tc>
          <w:tcPr>
            <w:tcW w:w="989" w:type="dxa"/>
            <w:noWrap/>
            <w:hideMark/>
          </w:tcPr>
          <w:p w14:paraId="1A17E6E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124</w:t>
            </w:r>
          </w:p>
          <w:p w14:paraId="22032077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(109%)</w:t>
            </w:r>
          </w:p>
        </w:tc>
        <w:tc>
          <w:tcPr>
            <w:tcW w:w="989" w:type="dxa"/>
            <w:noWrap/>
            <w:hideMark/>
          </w:tcPr>
          <w:p w14:paraId="6D012D33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118</w:t>
            </w:r>
          </w:p>
          <w:p w14:paraId="612FF1AA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(104%)</w:t>
            </w:r>
          </w:p>
        </w:tc>
        <w:tc>
          <w:tcPr>
            <w:tcW w:w="989" w:type="dxa"/>
            <w:noWrap/>
            <w:hideMark/>
          </w:tcPr>
          <w:p w14:paraId="0756F595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112</w:t>
            </w:r>
          </w:p>
          <w:p w14:paraId="2E17FB0B" w14:textId="77777777" w:rsidR="003F3A06" w:rsidRPr="008C5C43" w:rsidRDefault="003F3A06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(98.2%)</w:t>
            </w:r>
          </w:p>
        </w:tc>
        <w:tc>
          <w:tcPr>
            <w:tcW w:w="989" w:type="dxa"/>
            <w:noWrap/>
            <w:hideMark/>
          </w:tcPr>
          <w:p w14:paraId="6906AB63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107</w:t>
            </w:r>
          </w:p>
          <w:p w14:paraId="3FE9DF5D" w14:textId="77777777" w:rsidR="003F3A06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(93.7%)</w:t>
            </w:r>
          </w:p>
        </w:tc>
        <w:tc>
          <w:tcPr>
            <w:tcW w:w="989" w:type="dxa"/>
            <w:noWrap/>
            <w:hideMark/>
          </w:tcPr>
          <w:p w14:paraId="0A2AC9E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104</w:t>
            </w:r>
          </w:p>
          <w:p w14:paraId="26916C74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(91.2%)</w:t>
            </w:r>
          </w:p>
        </w:tc>
      </w:tr>
      <w:tr w:rsidR="00FE26C5" w:rsidRPr="008C5C43" w14:paraId="2DC8C3C5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2A04F36D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237" w:type="dxa"/>
            <w:noWrap/>
            <w:hideMark/>
          </w:tcPr>
          <w:p w14:paraId="1AFB740B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158</w:t>
            </w:r>
          </w:p>
        </w:tc>
        <w:tc>
          <w:tcPr>
            <w:tcW w:w="1237" w:type="dxa"/>
            <w:noWrap/>
            <w:hideMark/>
          </w:tcPr>
          <w:p w14:paraId="3B9F7C80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7077FE4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4664054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62C2455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667A7DA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434943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noWrap/>
            <w:hideMark/>
          </w:tcPr>
          <w:p w14:paraId="7027D70D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109</w:t>
            </w:r>
          </w:p>
          <w:p w14:paraId="43720755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(109%)</w:t>
            </w:r>
          </w:p>
        </w:tc>
        <w:tc>
          <w:tcPr>
            <w:tcW w:w="989" w:type="dxa"/>
            <w:noWrap/>
            <w:hideMark/>
          </w:tcPr>
          <w:p w14:paraId="08901A3B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116</w:t>
            </w:r>
          </w:p>
          <w:p w14:paraId="1B4AEE73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(116%)</w:t>
            </w:r>
          </w:p>
        </w:tc>
        <w:tc>
          <w:tcPr>
            <w:tcW w:w="989" w:type="dxa"/>
            <w:noWrap/>
            <w:hideMark/>
          </w:tcPr>
          <w:p w14:paraId="24AA814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124</w:t>
            </w:r>
          </w:p>
          <w:p w14:paraId="3C2E4FEB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(124%)</w:t>
            </w:r>
          </w:p>
        </w:tc>
        <w:tc>
          <w:tcPr>
            <w:tcW w:w="989" w:type="dxa"/>
            <w:noWrap/>
            <w:hideMark/>
          </w:tcPr>
          <w:p w14:paraId="57BCBD0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121</w:t>
            </w:r>
          </w:p>
          <w:p w14:paraId="7EAC29B3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(121%)</w:t>
            </w:r>
          </w:p>
        </w:tc>
      </w:tr>
      <w:tr w:rsidR="00FE26C5" w:rsidRPr="008C5C43" w14:paraId="59E68139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0A0B2D45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237" w:type="dxa"/>
            <w:noWrap/>
            <w:hideMark/>
          </w:tcPr>
          <w:p w14:paraId="69D4553B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132</w:t>
            </w:r>
          </w:p>
        </w:tc>
        <w:tc>
          <w:tcPr>
            <w:tcW w:w="1237" w:type="dxa"/>
            <w:noWrap/>
            <w:hideMark/>
          </w:tcPr>
          <w:p w14:paraId="11D695D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704052E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6EB8EE9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47A5D0C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3F472581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7769D15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C74F298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90</w:t>
            </w:r>
          </w:p>
        </w:tc>
        <w:tc>
          <w:tcPr>
            <w:tcW w:w="989" w:type="dxa"/>
            <w:noWrap/>
            <w:hideMark/>
          </w:tcPr>
          <w:p w14:paraId="7D8B5B0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102</w:t>
            </w:r>
          </w:p>
          <w:p w14:paraId="66300304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(113%)</w:t>
            </w:r>
          </w:p>
        </w:tc>
        <w:tc>
          <w:tcPr>
            <w:tcW w:w="989" w:type="dxa"/>
            <w:noWrap/>
            <w:hideMark/>
          </w:tcPr>
          <w:p w14:paraId="5AF0AAC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109</w:t>
            </w:r>
          </w:p>
          <w:p w14:paraId="5DD5B8CA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(121%)</w:t>
            </w:r>
          </w:p>
        </w:tc>
        <w:tc>
          <w:tcPr>
            <w:tcW w:w="989" w:type="dxa"/>
            <w:noWrap/>
            <w:hideMark/>
          </w:tcPr>
          <w:p w14:paraId="6B1F054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104</w:t>
            </w:r>
          </w:p>
          <w:p w14:paraId="201B7F11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(116%)</w:t>
            </w:r>
          </w:p>
        </w:tc>
      </w:tr>
      <w:tr w:rsidR="00FE26C5" w:rsidRPr="008C5C43" w14:paraId="3AE926F5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7AF83D92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237" w:type="dxa"/>
            <w:noWrap/>
            <w:hideMark/>
          </w:tcPr>
          <w:p w14:paraId="205F1063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143</w:t>
            </w:r>
          </w:p>
        </w:tc>
        <w:tc>
          <w:tcPr>
            <w:tcW w:w="1237" w:type="dxa"/>
            <w:noWrap/>
            <w:hideMark/>
          </w:tcPr>
          <w:p w14:paraId="7A0473A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17D62876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DDAF955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49BE9C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C643E1B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7CAF37D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68FF4A5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4D3CDD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101</w:t>
            </w:r>
          </w:p>
        </w:tc>
        <w:tc>
          <w:tcPr>
            <w:tcW w:w="989" w:type="dxa"/>
            <w:noWrap/>
            <w:hideMark/>
          </w:tcPr>
          <w:p w14:paraId="6C8C6999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121</w:t>
            </w:r>
          </w:p>
          <w:p w14:paraId="61BC1122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(120%)</w:t>
            </w:r>
          </w:p>
        </w:tc>
        <w:tc>
          <w:tcPr>
            <w:tcW w:w="989" w:type="dxa"/>
            <w:noWrap/>
            <w:hideMark/>
          </w:tcPr>
          <w:p w14:paraId="06EA3D9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120</w:t>
            </w:r>
          </w:p>
          <w:p w14:paraId="634A77F7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(119%)</w:t>
            </w:r>
          </w:p>
        </w:tc>
      </w:tr>
      <w:tr w:rsidR="00FE26C5" w:rsidRPr="008C5C43" w14:paraId="63699235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1D8851E2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237" w:type="dxa"/>
            <w:noWrap/>
            <w:hideMark/>
          </w:tcPr>
          <w:p w14:paraId="11BA0C84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141</w:t>
            </w:r>
          </w:p>
        </w:tc>
        <w:tc>
          <w:tcPr>
            <w:tcW w:w="1237" w:type="dxa"/>
            <w:noWrap/>
            <w:hideMark/>
          </w:tcPr>
          <w:p w14:paraId="297EED62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565A2B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7211A35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3BF72C29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1465F09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5CCC16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3B255F3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3C3B5E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626135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108</w:t>
            </w:r>
          </w:p>
        </w:tc>
        <w:tc>
          <w:tcPr>
            <w:tcW w:w="989" w:type="dxa"/>
            <w:noWrap/>
            <w:hideMark/>
          </w:tcPr>
          <w:p w14:paraId="1DC1DCA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119</w:t>
            </w:r>
          </w:p>
          <w:p w14:paraId="313BEFC1" w14:textId="77777777" w:rsidR="00631E3F" w:rsidRPr="008C5C43" w:rsidRDefault="00631E3F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(110%)</w:t>
            </w:r>
          </w:p>
        </w:tc>
      </w:tr>
      <w:tr w:rsidR="00FE26C5" w:rsidRPr="008C5C43" w14:paraId="09D7D822" w14:textId="77777777" w:rsidTr="00631E3F">
        <w:trPr>
          <w:trHeight w:val="303"/>
        </w:trPr>
        <w:tc>
          <w:tcPr>
            <w:tcW w:w="989" w:type="dxa"/>
            <w:noWrap/>
            <w:hideMark/>
          </w:tcPr>
          <w:p w14:paraId="641AE5F3" w14:textId="77777777" w:rsidR="00FE26C5" w:rsidRPr="008C5C43" w:rsidRDefault="00FE26C5" w:rsidP="00FE26C5">
            <w:pPr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237" w:type="dxa"/>
            <w:noWrap/>
            <w:hideMark/>
          </w:tcPr>
          <w:p w14:paraId="76F48E4A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128</w:t>
            </w:r>
          </w:p>
        </w:tc>
        <w:tc>
          <w:tcPr>
            <w:tcW w:w="1237" w:type="dxa"/>
            <w:noWrap/>
            <w:hideMark/>
          </w:tcPr>
          <w:p w14:paraId="1F03A61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6A08A2D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685BF90E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2B6E7DF5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48E2DABF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41EEBAD0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7E8186D7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4A1ED8AC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1C6B0DFC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52044BAC" w14:textId="77777777" w:rsidR="00FE26C5" w:rsidRPr="008C5C43" w:rsidRDefault="00FE26C5" w:rsidP="00FE26C5">
            <w:pPr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103</w:t>
            </w:r>
          </w:p>
        </w:tc>
      </w:tr>
      <w:tr w:rsidR="00FE26C5" w:rsidRPr="008C5C43" w14:paraId="05ACB54A" w14:textId="77777777" w:rsidTr="008C5C43">
        <w:trPr>
          <w:trHeight w:val="80"/>
        </w:trPr>
        <w:tc>
          <w:tcPr>
            <w:tcW w:w="989" w:type="dxa"/>
            <w:noWrap/>
            <w:hideMark/>
          </w:tcPr>
          <w:p w14:paraId="388B513E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noWrap/>
            <w:hideMark/>
          </w:tcPr>
          <w:p w14:paraId="53B8768A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noWrap/>
            <w:hideMark/>
          </w:tcPr>
          <w:p w14:paraId="66A85CC1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63FB4309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394791D4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9B23887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152F4399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51411308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4883FA90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0A304C4B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79EB94E3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noWrap/>
            <w:hideMark/>
          </w:tcPr>
          <w:p w14:paraId="5DBBB8C8" w14:textId="77777777" w:rsidR="00FE26C5" w:rsidRPr="008C5C43" w:rsidRDefault="00FE26C5" w:rsidP="00FE26C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DB3892F" w14:textId="77777777" w:rsidR="00631E3F" w:rsidRPr="008C5C43" w:rsidRDefault="00FE26C5" w:rsidP="00631E3F">
      <w:pPr>
        <w:rPr>
          <w:sz w:val="20"/>
          <w:szCs w:val="20"/>
        </w:rPr>
      </w:pPr>
      <w:r w:rsidRPr="008C5C43">
        <w:rPr>
          <w:b/>
          <w:sz w:val="20"/>
          <w:szCs w:val="20"/>
        </w:rPr>
        <w:fldChar w:fldCharType="end"/>
      </w:r>
      <w:r w:rsidR="00631E3F" w:rsidRPr="008C5C43">
        <w:rPr>
          <w:sz w:val="20"/>
          <w:szCs w:val="20"/>
        </w:rPr>
        <w:t xml:space="preserve"> Note:  First number in column for year represents the baseline for the year for which retention is calculated.  Yellow highlights are the 5</w:t>
      </w:r>
      <w:r w:rsidR="00631E3F" w:rsidRPr="008C5C43">
        <w:rPr>
          <w:sz w:val="20"/>
          <w:szCs w:val="20"/>
          <w:vertAlign w:val="superscript"/>
        </w:rPr>
        <w:t>th</w:t>
      </w:r>
      <w:r w:rsidR="00631E3F" w:rsidRPr="008C5C43">
        <w:rPr>
          <w:sz w:val="20"/>
          <w:szCs w:val="20"/>
        </w:rPr>
        <w:t xml:space="preserve"> year retention rates for any given year.</w:t>
      </w:r>
    </w:p>
    <w:p w14:paraId="7BA2BDD7" w14:textId="77777777" w:rsidR="00FE26C5" w:rsidRPr="008C5C43" w:rsidRDefault="00FE26C5" w:rsidP="00FE26C5">
      <w:pPr>
        <w:spacing w:line="240" w:lineRule="auto"/>
        <w:contextualSpacing/>
        <w:rPr>
          <w:b/>
          <w:sz w:val="20"/>
          <w:szCs w:val="20"/>
        </w:rPr>
      </w:pPr>
    </w:p>
    <w:p w14:paraId="2D59E548" w14:textId="77777777" w:rsidR="00FE26C5" w:rsidRPr="008C5C43" w:rsidRDefault="00FE26C5" w:rsidP="00FE26C5">
      <w:pPr>
        <w:spacing w:line="240" w:lineRule="auto"/>
        <w:contextualSpacing/>
        <w:rPr>
          <w:b/>
          <w:sz w:val="20"/>
          <w:szCs w:val="20"/>
        </w:rPr>
      </w:pPr>
      <w:r w:rsidRPr="008C5C43">
        <w:rPr>
          <w:b/>
          <w:sz w:val="20"/>
          <w:szCs w:val="20"/>
        </w:rPr>
        <w:t xml:space="preserve">Table 2.0: </w:t>
      </w:r>
      <w:r w:rsidR="00831901" w:rsidRPr="008C5C43">
        <w:rPr>
          <w:b/>
          <w:sz w:val="20"/>
          <w:szCs w:val="20"/>
        </w:rPr>
        <w:t xml:space="preserve">Retention of Emporia State University </w:t>
      </w:r>
      <w:r w:rsidR="00C013BF" w:rsidRPr="008C5C43">
        <w:rPr>
          <w:b/>
          <w:sz w:val="20"/>
          <w:szCs w:val="20"/>
        </w:rPr>
        <w:t>Secondary</w:t>
      </w:r>
      <w:r w:rsidR="00831901" w:rsidRPr="008C5C43">
        <w:rPr>
          <w:b/>
          <w:sz w:val="20"/>
          <w:szCs w:val="20"/>
        </w:rPr>
        <w:t xml:space="preserve"> Teachers</w:t>
      </w:r>
      <w:r w:rsidR="00C013BF" w:rsidRPr="008C5C43">
        <w:rPr>
          <w:b/>
          <w:sz w:val="20"/>
          <w:szCs w:val="20"/>
        </w:rPr>
        <w:t xml:space="preserve"> in the State of Kansas</w:t>
      </w:r>
      <w:r w:rsidRPr="008C5C43">
        <w:rPr>
          <w:b/>
          <w:sz w:val="20"/>
          <w:szCs w:val="20"/>
        </w:rPr>
        <w:t xml:space="preserve"> 2009-2014</w:t>
      </w:r>
    </w:p>
    <w:p w14:paraId="6CBDBE84" w14:textId="77777777" w:rsidR="00831901" w:rsidRPr="008C5C43" w:rsidRDefault="00FE26C5" w:rsidP="00FE26C5">
      <w:pPr>
        <w:spacing w:line="240" w:lineRule="auto"/>
        <w:contextualSpacing/>
        <w:rPr>
          <w:sz w:val="20"/>
          <w:szCs w:val="20"/>
        </w:rPr>
      </w:pPr>
      <w:proofErr w:type="gramStart"/>
      <w:r w:rsidRPr="008C5C43">
        <w:rPr>
          <w:sz w:val="20"/>
          <w:szCs w:val="20"/>
        </w:rPr>
        <w:t>5 year</w:t>
      </w:r>
      <w:proofErr w:type="gramEnd"/>
      <w:r w:rsidRPr="008C5C43">
        <w:rPr>
          <w:sz w:val="20"/>
          <w:szCs w:val="20"/>
        </w:rPr>
        <w:t xml:space="preserve"> retention average for EPP Secondary Completers: 98.98%</w:t>
      </w:r>
      <w:r w:rsidR="00831901" w:rsidRPr="008C5C43">
        <w:rPr>
          <w:sz w:val="20"/>
          <w:szCs w:val="20"/>
        </w:rPr>
        <w:fldChar w:fldCharType="begin"/>
      </w:r>
      <w:r w:rsidR="00831901" w:rsidRPr="008C5C43">
        <w:rPr>
          <w:sz w:val="20"/>
          <w:szCs w:val="20"/>
        </w:rPr>
        <w:instrText xml:space="preserve"> LINK Excel.Sheet.12 "C:\\Users\\jbrewer\\AppData\\Local\\Microsoft\\Windows\\Temporary Internet Files\\Content.Outlook\\DLEBQN0D\\ESU Secondary Teacher Retention.xlsx" "Secondary!R2C1:R13C12" \a \f 5 \h  \* MERGEFORMAT </w:instrText>
      </w:r>
      <w:r w:rsidR="00831901" w:rsidRPr="008C5C43">
        <w:rPr>
          <w:sz w:val="20"/>
          <w:szCs w:val="20"/>
        </w:rPr>
        <w:fldChar w:fldCharType="separate"/>
      </w:r>
    </w:p>
    <w:tbl>
      <w:tblPr>
        <w:tblStyle w:val="TableGrid"/>
        <w:tblW w:w="12180" w:type="dxa"/>
        <w:tblLook w:val="04A0" w:firstRow="1" w:lastRow="0" w:firstColumn="1" w:lastColumn="0" w:noHBand="0" w:noVBand="1"/>
      </w:tblPr>
      <w:tblGrid>
        <w:gridCol w:w="960"/>
        <w:gridCol w:w="1460"/>
        <w:gridCol w:w="1040"/>
        <w:gridCol w:w="104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31901" w:rsidRPr="008C5C43" w14:paraId="0CAF8CE1" w14:textId="77777777" w:rsidTr="00C013BF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642B31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  <w:noWrap/>
            <w:hideMark/>
          </w:tcPr>
          <w:p w14:paraId="07DDF50B" w14:textId="77777777" w:rsidR="00831901" w:rsidRPr="008C5C43" w:rsidRDefault="00831901" w:rsidP="00FE26C5">
            <w:pPr>
              <w:contextualSpacing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# of Graduates</w:t>
            </w:r>
          </w:p>
        </w:tc>
        <w:tc>
          <w:tcPr>
            <w:tcW w:w="2080" w:type="dxa"/>
            <w:gridSpan w:val="2"/>
            <w:shd w:val="clear" w:color="auto" w:fill="BFBFBF" w:themeFill="background1" w:themeFillShade="BF"/>
            <w:noWrap/>
            <w:hideMark/>
          </w:tcPr>
          <w:p w14:paraId="690E5F7D" w14:textId="77777777" w:rsidR="00831901" w:rsidRPr="008C5C43" w:rsidRDefault="00831901" w:rsidP="00FE26C5">
            <w:pPr>
              <w:contextualSpacing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# Employed/</w:t>
            </w:r>
          </w:p>
          <w:p w14:paraId="67723CF6" w14:textId="77777777" w:rsidR="00831901" w:rsidRPr="008C5C43" w:rsidRDefault="00831901" w:rsidP="00FE26C5">
            <w:pPr>
              <w:contextualSpacing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%  Retained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499A18E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34D7858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B2B383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41815C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3B07786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28A3322E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17C8E6F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1151DD9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831901" w:rsidRPr="008C5C43" w14:paraId="151D3151" w14:textId="77777777" w:rsidTr="00C013BF">
        <w:trPr>
          <w:trHeight w:val="300"/>
        </w:trPr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45BC5A1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shd w:val="clear" w:color="auto" w:fill="BFBFBF" w:themeFill="background1" w:themeFillShade="BF"/>
            <w:noWrap/>
            <w:hideMark/>
          </w:tcPr>
          <w:p w14:paraId="65D93A0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BFBFBF" w:themeFill="background1" w:themeFillShade="BF"/>
            <w:noWrap/>
            <w:hideMark/>
          </w:tcPr>
          <w:p w14:paraId="59954E81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040" w:type="dxa"/>
            <w:shd w:val="clear" w:color="auto" w:fill="BFBFBF" w:themeFill="background1" w:themeFillShade="BF"/>
            <w:noWrap/>
            <w:hideMark/>
          </w:tcPr>
          <w:p w14:paraId="4FF18AC5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00659497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4022358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7112D38A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7A4A44EC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0E43123D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3E1F756B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57E859BE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960" w:type="dxa"/>
            <w:shd w:val="clear" w:color="auto" w:fill="BFBFBF" w:themeFill="background1" w:themeFillShade="BF"/>
            <w:noWrap/>
            <w:hideMark/>
          </w:tcPr>
          <w:p w14:paraId="07C7BFFE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2014</w:t>
            </w:r>
          </w:p>
        </w:tc>
      </w:tr>
      <w:tr w:rsidR="00831901" w:rsidRPr="008C5C43" w14:paraId="5DF12D66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1BF9B330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2005</w:t>
            </w:r>
          </w:p>
        </w:tc>
        <w:tc>
          <w:tcPr>
            <w:tcW w:w="1460" w:type="dxa"/>
            <w:noWrap/>
            <w:hideMark/>
          </w:tcPr>
          <w:p w14:paraId="555C0C3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88</w:t>
            </w:r>
          </w:p>
        </w:tc>
        <w:tc>
          <w:tcPr>
            <w:tcW w:w="1040" w:type="dxa"/>
            <w:noWrap/>
            <w:hideMark/>
          </w:tcPr>
          <w:p w14:paraId="474D29F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72</w:t>
            </w:r>
          </w:p>
        </w:tc>
        <w:tc>
          <w:tcPr>
            <w:tcW w:w="1040" w:type="dxa"/>
            <w:noWrap/>
            <w:hideMark/>
          </w:tcPr>
          <w:p w14:paraId="764ED07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68</w:t>
            </w:r>
          </w:p>
          <w:p w14:paraId="48A0AE9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(94.4%)</w:t>
            </w:r>
          </w:p>
        </w:tc>
        <w:tc>
          <w:tcPr>
            <w:tcW w:w="960" w:type="dxa"/>
            <w:noWrap/>
            <w:hideMark/>
          </w:tcPr>
          <w:p w14:paraId="5755A6D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67 (93.1%)</w:t>
            </w:r>
          </w:p>
        </w:tc>
        <w:tc>
          <w:tcPr>
            <w:tcW w:w="960" w:type="dxa"/>
            <w:noWrap/>
            <w:hideMark/>
          </w:tcPr>
          <w:p w14:paraId="0BEEB93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66</w:t>
            </w:r>
          </w:p>
          <w:p w14:paraId="60431E8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(91.7%)</w:t>
            </w:r>
          </w:p>
        </w:tc>
        <w:tc>
          <w:tcPr>
            <w:tcW w:w="960" w:type="dxa"/>
            <w:noWrap/>
            <w:hideMark/>
          </w:tcPr>
          <w:p w14:paraId="09F82FA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65</w:t>
            </w:r>
          </w:p>
          <w:p w14:paraId="11494CD3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(90.2%)</w:t>
            </w:r>
          </w:p>
        </w:tc>
        <w:tc>
          <w:tcPr>
            <w:tcW w:w="960" w:type="dxa"/>
            <w:noWrap/>
            <w:hideMark/>
          </w:tcPr>
          <w:p w14:paraId="4414F9BE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67</w:t>
            </w:r>
          </w:p>
          <w:p w14:paraId="73BDC59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(93.1%)</w:t>
            </w:r>
          </w:p>
        </w:tc>
        <w:tc>
          <w:tcPr>
            <w:tcW w:w="960" w:type="dxa"/>
            <w:noWrap/>
            <w:hideMark/>
          </w:tcPr>
          <w:p w14:paraId="5252FED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65</w:t>
            </w:r>
          </w:p>
          <w:p w14:paraId="550739AC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(90.2%)</w:t>
            </w:r>
          </w:p>
        </w:tc>
        <w:tc>
          <w:tcPr>
            <w:tcW w:w="960" w:type="dxa"/>
            <w:noWrap/>
            <w:hideMark/>
          </w:tcPr>
          <w:p w14:paraId="113C64D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64</w:t>
            </w:r>
          </w:p>
          <w:p w14:paraId="54F5280E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(88.9%)</w:t>
            </w:r>
          </w:p>
        </w:tc>
        <w:tc>
          <w:tcPr>
            <w:tcW w:w="960" w:type="dxa"/>
            <w:noWrap/>
            <w:hideMark/>
          </w:tcPr>
          <w:p w14:paraId="5C0E716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63</w:t>
            </w:r>
          </w:p>
          <w:p w14:paraId="31219832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(87.5%)</w:t>
            </w:r>
          </w:p>
        </w:tc>
        <w:tc>
          <w:tcPr>
            <w:tcW w:w="960" w:type="dxa"/>
            <w:noWrap/>
            <w:hideMark/>
          </w:tcPr>
          <w:p w14:paraId="70D881D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60</w:t>
            </w:r>
          </w:p>
          <w:p w14:paraId="3CFA007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(83.3%)</w:t>
            </w:r>
          </w:p>
        </w:tc>
      </w:tr>
      <w:tr w:rsidR="00831901" w:rsidRPr="008C5C43" w14:paraId="210B7D43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08677D2C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2006</w:t>
            </w:r>
          </w:p>
        </w:tc>
        <w:tc>
          <w:tcPr>
            <w:tcW w:w="1460" w:type="dxa"/>
            <w:noWrap/>
            <w:hideMark/>
          </w:tcPr>
          <w:p w14:paraId="0539AFA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54</w:t>
            </w:r>
          </w:p>
        </w:tc>
        <w:tc>
          <w:tcPr>
            <w:tcW w:w="1040" w:type="dxa"/>
            <w:noWrap/>
            <w:hideMark/>
          </w:tcPr>
          <w:p w14:paraId="1114ECD2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6ACDE284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46</w:t>
            </w:r>
          </w:p>
        </w:tc>
        <w:tc>
          <w:tcPr>
            <w:tcW w:w="960" w:type="dxa"/>
            <w:noWrap/>
            <w:hideMark/>
          </w:tcPr>
          <w:p w14:paraId="7777E4E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48</w:t>
            </w:r>
          </w:p>
          <w:p w14:paraId="4D96456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</w:t>
            </w:r>
            <w:r w:rsidR="00C013BF" w:rsidRPr="008C5C43">
              <w:rPr>
                <w:sz w:val="20"/>
                <w:szCs w:val="20"/>
              </w:rPr>
              <w:t>104%</w:t>
            </w:r>
            <w:r w:rsidRPr="008C5C43">
              <w:rPr>
                <w:sz w:val="20"/>
                <w:szCs w:val="20"/>
              </w:rPr>
              <w:t>)</w:t>
            </w:r>
          </w:p>
        </w:tc>
        <w:tc>
          <w:tcPr>
            <w:tcW w:w="960" w:type="dxa"/>
            <w:noWrap/>
            <w:hideMark/>
          </w:tcPr>
          <w:p w14:paraId="18F1F45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45</w:t>
            </w:r>
          </w:p>
          <w:p w14:paraId="15365DC2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(97.8%)</w:t>
            </w:r>
          </w:p>
        </w:tc>
        <w:tc>
          <w:tcPr>
            <w:tcW w:w="960" w:type="dxa"/>
            <w:noWrap/>
            <w:hideMark/>
          </w:tcPr>
          <w:p w14:paraId="61B793E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40</w:t>
            </w:r>
          </w:p>
          <w:p w14:paraId="5AB1AFC7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(87%)</w:t>
            </w:r>
          </w:p>
        </w:tc>
        <w:tc>
          <w:tcPr>
            <w:tcW w:w="960" w:type="dxa"/>
            <w:noWrap/>
            <w:hideMark/>
          </w:tcPr>
          <w:p w14:paraId="6DB13B3C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43</w:t>
            </w:r>
          </w:p>
          <w:p w14:paraId="433A53C0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(93.4%)</w:t>
            </w:r>
          </w:p>
        </w:tc>
        <w:tc>
          <w:tcPr>
            <w:tcW w:w="960" w:type="dxa"/>
            <w:noWrap/>
            <w:hideMark/>
          </w:tcPr>
          <w:p w14:paraId="2FABB66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42</w:t>
            </w:r>
          </w:p>
          <w:p w14:paraId="69817C76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(91.3%)</w:t>
            </w:r>
          </w:p>
        </w:tc>
        <w:tc>
          <w:tcPr>
            <w:tcW w:w="960" w:type="dxa"/>
            <w:noWrap/>
            <w:hideMark/>
          </w:tcPr>
          <w:p w14:paraId="27909C0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40</w:t>
            </w:r>
          </w:p>
          <w:p w14:paraId="71BF68C0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(87%)</w:t>
            </w:r>
          </w:p>
        </w:tc>
        <w:tc>
          <w:tcPr>
            <w:tcW w:w="960" w:type="dxa"/>
            <w:noWrap/>
            <w:hideMark/>
          </w:tcPr>
          <w:p w14:paraId="5722794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41</w:t>
            </w:r>
          </w:p>
          <w:p w14:paraId="60933F14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(89.1%)</w:t>
            </w:r>
          </w:p>
        </w:tc>
        <w:tc>
          <w:tcPr>
            <w:tcW w:w="960" w:type="dxa"/>
            <w:noWrap/>
            <w:hideMark/>
          </w:tcPr>
          <w:p w14:paraId="0BE7DB8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37</w:t>
            </w:r>
          </w:p>
          <w:p w14:paraId="58DC934B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(80.4%)</w:t>
            </w:r>
          </w:p>
        </w:tc>
      </w:tr>
      <w:tr w:rsidR="00831901" w:rsidRPr="008C5C43" w14:paraId="216D646E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50D14516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2007</w:t>
            </w:r>
          </w:p>
        </w:tc>
        <w:tc>
          <w:tcPr>
            <w:tcW w:w="1460" w:type="dxa"/>
            <w:noWrap/>
            <w:hideMark/>
          </w:tcPr>
          <w:p w14:paraId="07543D5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36</w:t>
            </w:r>
          </w:p>
        </w:tc>
        <w:tc>
          <w:tcPr>
            <w:tcW w:w="1040" w:type="dxa"/>
            <w:noWrap/>
            <w:hideMark/>
          </w:tcPr>
          <w:p w14:paraId="45C26FC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4F47D79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226F76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26</w:t>
            </w:r>
          </w:p>
        </w:tc>
        <w:tc>
          <w:tcPr>
            <w:tcW w:w="960" w:type="dxa"/>
            <w:noWrap/>
            <w:hideMark/>
          </w:tcPr>
          <w:p w14:paraId="7BEDF6B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30</w:t>
            </w:r>
          </w:p>
          <w:p w14:paraId="731DE10E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(115%)</w:t>
            </w:r>
          </w:p>
        </w:tc>
        <w:tc>
          <w:tcPr>
            <w:tcW w:w="960" w:type="dxa"/>
            <w:noWrap/>
            <w:hideMark/>
          </w:tcPr>
          <w:p w14:paraId="5C4FC08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7A9B0C21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(115%)</w:t>
            </w:r>
          </w:p>
        </w:tc>
        <w:tc>
          <w:tcPr>
            <w:tcW w:w="960" w:type="dxa"/>
            <w:noWrap/>
            <w:hideMark/>
          </w:tcPr>
          <w:p w14:paraId="292D5A8E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4BF7CA22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(115%)</w:t>
            </w:r>
          </w:p>
        </w:tc>
        <w:tc>
          <w:tcPr>
            <w:tcW w:w="960" w:type="dxa"/>
            <w:noWrap/>
            <w:hideMark/>
          </w:tcPr>
          <w:p w14:paraId="7C125E4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27</w:t>
            </w:r>
          </w:p>
          <w:p w14:paraId="67B8BC03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(104%)</w:t>
            </w:r>
          </w:p>
        </w:tc>
        <w:tc>
          <w:tcPr>
            <w:tcW w:w="960" w:type="dxa"/>
            <w:noWrap/>
            <w:hideMark/>
          </w:tcPr>
          <w:p w14:paraId="3511ABA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28</w:t>
            </w:r>
          </w:p>
          <w:p w14:paraId="01F353CE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(108%)</w:t>
            </w:r>
          </w:p>
        </w:tc>
        <w:tc>
          <w:tcPr>
            <w:tcW w:w="960" w:type="dxa"/>
            <w:noWrap/>
            <w:hideMark/>
          </w:tcPr>
          <w:p w14:paraId="6EE2BE6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27</w:t>
            </w:r>
          </w:p>
          <w:p w14:paraId="0BAF7AF2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(104%)</w:t>
            </w:r>
          </w:p>
        </w:tc>
        <w:tc>
          <w:tcPr>
            <w:tcW w:w="960" w:type="dxa"/>
            <w:noWrap/>
            <w:hideMark/>
          </w:tcPr>
          <w:p w14:paraId="660C5454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23</w:t>
            </w:r>
          </w:p>
          <w:p w14:paraId="020C001F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(88%)</w:t>
            </w:r>
          </w:p>
        </w:tc>
      </w:tr>
      <w:tr w:rsidR="00831901" w:rsidRPr="008C5C43" w14:paraId="625BE917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7CB28828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1460" w:type="dxa"/>
            <w:noWrap/>
            <w:hideMark/>
          </w:tcPr>
          <w:p w14:paraId="681E603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41</w:t>
            </w:r>
          </w:p>
        </w:tc>
        <w:tc>
          <w:tcPr>
            <w:tcW w:w="1040" w:type="dxa"/>
            <w:noWrap/>
            <w:hideMark/>
          </w:tcPr>
          <w:p w14:paraId="705DF73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5FE205FE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D0CDBC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15860D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6687381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6C80E363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(104%)</w:t>
            </w:r>
          </w:p>
        </w:tc>
        <w:tc>
          <w:tcPr>
            <w:tcW w:w="960" w:type="dxa"/>
            <w:noWrap/>
            <w:hideMark/>
          </w:tcPr>
          <w:p w14:paraId="27A03CE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494D7882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(104%)</w:t>
            </w:r>
          </w:p>
        </w:tc>
        <w:tc>
          <w:tcPr>
            <w:tcW w:w="960" w:type="dxa"/>
            <w:noWrap/>
            <w:hideMark/>
          </w:tcPr>
          <w:p w14:paraId="3C14E01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07E62D3A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(104%)</w:t>
            </w:r>
          </w:p>
        </w:tc>
        <w:tc>
          <w:tcPr>
            <w:tcW w:w="960" w:type="dxa"/>
            <w:noWrap/>
            <w:hideMark/>
          </w:tcPr>
          <w:p w14:paraId="2461AD24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30</w:t>
            </w:r>
          </w:p>
          <w:p w14:paraId="523BF1DA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(107%)</w:t>
            </w:r>
          </w:p>
        </w:tc>
        <w:tc>
          <w:tcPr>
            <w:tcW w:w="960" w:type="dxa"/>
            <w:noWrap/>
            <w:hideMark/>
          </w:tcPr>
          <w:p w14:paraId="60BA25B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30</w:t>
            </w:r>
          </w:p>
          <w:p w14:paraId="6046B2ED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(107%)</w:t>
            </w:r>
          </w:p>
        </w:tc>
        <w:tc>
          <w:tcPr>
            <w:tcW w:w="960" w:type="dxa"/>
            <w:noWrap/>
            <w:hideMark/>
          </w:tcPr>
          <w:p w14:paraId="134B243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32</w:t>
            </w:r>
          </w:p>
          <w:p w14:paraId="44B8031B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(114%)</w:t>
            </w:r>
          </w:p>
        </w:tc>
      </w:tr>
      <w:tr w:rsidR="00831901" w:rsidRPr="008C5C43" w14:paraId="5DB84105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7B09FFBA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1460" w:type="dxa"/>
            <w:noWrap/>
            <w:hideMark/>
          </w:tcPr>
          <w:p w14:paraId="49A483B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38</w:t>
            </w:r>
          </w:p>
        </w:tc>
        <w:tc>
          <w:tcPr>
            <w:tcW w:w="1040" w:type="dxa"/>
            <w:noWrap/>
            <w:hideMark/>
          </w:tcPr>
          <w:p w14:paraId="475F15EC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25D8C8E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8A08C1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22BAC2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077D41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35</w:t>
            </w:r>
          </w:p>
        </w:tc>
        <w:tc>
          <w:tcPr>
            <w:tcW w:w="960" w:type="dxa"/>
            <w:noWrap/>
            <w:hideMark/>
          </w:tcPr>
          <w:p w14:paraId="00106F9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37</w:t>
            </w:r>
          </w:p>
          <w:p w14:paraId="1195C9A7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(105%)</w:t>
            </w:r>
          </w:p>
        </w:tc>
        <w:tc>
          <w:tcPr>
            <w:tcW w:w="960" w:type="dxa"/>
            <w:noWrap/>
            <w:hideMark/>
          </w:tcPr>
          <w:p w14:paraId="3A65BE52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32</w:t>
            </w:r>
          </w:p>
          <w:p w14:paraId="6C432F30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(91.4%)</w:t>
            </w:r>
          </w:p>
        </w:tc>
        <w:tc>
          <w:tcPr>
            <w:tcW w:w="960" w:type="dxa"/>
            <w:noWrap/>
            <w:hideMark/>
          </w:tcPr>
          <w:p w14:paraId="6876458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27</w:t>
            </w:r>
          </w:p>
          <w:p w14:paraId="1C5697C7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(77%)</w:t>
            </w:r>
          </w:p>
        </w:tc>
        <w:tc>
          <w:tcPr>
            <w:tcW w:w="960" w:type="dxa"/>
            <w:noWrap/>
            <w:hideMark/>
          </w:tcPr>
          <w:p w14:paraId="41095C33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26</w:t>
            </w:r>
          </w:p>
          <w:p w14:paraId="1F22DF21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(74.3%)</w:t>
            </w:r>
          </w:p>
        </w:tc>
        <w:tc>
          <w:tcPr>
            <w:tcW w:w="960" w:type="dxa"/>
            <w:noWrap/>
            <w:hideMark/>
          </w:tcPr>
          <w:p w14:paraId="17D6BD3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27</w:t>
            </w:r>
          </w:p>
          <w:p w14:paraId="2425EB15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(77.1%)</w:t>
            </w:r>
          </w:p>
        </w:tc>
      </w:tr>
      <w:tr w:rsidR="00831901" w:rsidRPr="008C5C43" w14:paraId="516E0CB8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00A34618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1460" w:type="dxa"/>
            <w:noWrap/>
            <w:hideMark/>
          </w:tcPr>
          <w:p w14:paraId="12C4C21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43</w:t>
            </w:r>
          </w:p>
        </w:tc>
        <w:tc>
          <w:tcPr>
            <w:tcW w:w="1040" w:type="dxa"/>
            <w:noWrap/>
            <w:hideMark/>
          </w:tcPr>
          <w:p w14:paraId="2155B443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6FF1222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0B8100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04B4399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26CE56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6A96954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2C3A7344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5964B093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(104%)</w:t>
            </w:r>
          </w:p>
        </w:tc>
        <w:tc>
          <w:tcPr>
            <w:tcW w:w="960" w:type="dxa"/>
            <w:noWrap/>
            <w:hideMark/>
          </w:tcPr>
          <w:p w14:paraId="06D6CC13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32</w:t>
            </w:r>
          </w:p>
          <w:p w14:paraId="795FB21E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(114%)</w:t>
            </w:r>
          </w:p>
        </w:tc>
        <w:tc>
          <w:tcPr>
            <w:tcW w:w="960" w:type="dxa"/>
            <w:noWrap/>
            <w:hideMark/>
          </w:tcPr>
          <w:p w14:paraId="6741121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36</w:t>
            </w:r>
          </w:p>
          <w:p w14:paraId="466023D2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(129%)</w:t>
            </w:r>
          </w:p>
        </w:tc>
        <w:tc>
          <w:tcPr>
            <w:tcW w:w="960" w:type="dxa"/>
            <w:noWrap/>
            <w:hideMark/>
          </w:tcPr>
          <w:p w14:paraId="714B07D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35</w:t>
            </w:r>
          </w:p>
          <w:p w14:paraId="66792ADB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  <w:highlight w:val="yellow"/>
              </w:rPr>
              <w:t>(125%)</w:t>
            </w:r>
          </w:p>
        </w:tc>
      </w:tr>
      <w:tr w:rsidR="00831901" w:rsidRPr="008C5C43" w14:paraId="71EF32EE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05EABDAC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1460" w:type="dxa"/>
            <w:noWrap/>
            <w:hideMark/>
          </w:tcPr>
          <w:p w14:paraId="197B2642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36</w:t>
            </w:r>
          </w:p>
        </w:tc>
        <w:tc>
          <w:tcPr>
            <w:tcW w:w="1040" w:type="dxa"/>
            <w:noWrap/>
            <w:hideMark/>
          </w:tcPr>
          <w:p w14:paraId="2477835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17F6D13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2C4E353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651D7C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CCF7AB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EA338F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6CC181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20</w:t>
            </w:r>
          </w:p>
        </w:tc>
        <w:tc>
          <w:tcPr>
            <w:tcW w:w="960" w:type="dxa"/>
            <w:noWrap/>
            <w:hideMark/>
          </w:tcPr>
          <w:p w14:paraId="7EC5207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6B7A7314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(145%)</w:t>
            </w:r>
          </w:p>
        </w:tc>
        <w:tc>
          <w:tcPr>
            <w:tcW w:w="960" w:type="dxa"/>
            <w:noWrap/>
            <w:hideMark/>
          </w:tcPr>
          <w:p w14:paraId="539DB2FC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63E85CF7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(145%)</w:t>
            </w:r>
          </w:p>
        </w:tc>
        <w:tc>
          <w:tcPr>
            <w:tcW w:w="960" w:type="dxa"/>
            <w:noWrap/>
            <w:hideMark/>
          </w:tcPr>
          <w:p w14:paraId="64434D64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29</w:t>
            </w:r>
          </w:p>
          <w:p w14:paraId="04FCD11F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(145%)</w:t>
            </w:r>
          </w:p>
        </w:tc>
      </w:tr>
      <w:tr w:rsidR="00831901" w:rsidRPr="008C5C43" w14:paraId="5CD16F6D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0081B5CC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1460" w:type="dxa"/>
            <w:noWrap/>
            <w:hideMark/>
          </w:tcPr>
          <w:p w14:paraId="0B2804C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32</w:t>
            </w:r>
          </w:p>
        </w:tc>
        <w:tc>
          <w:tcPr>
            <w:tcW w:w="1040" w:type="dxa"/>
            <w:noWrap/>
            <w:hideMark/>
          </w:tcPr>
          <w:p w14:paraId="194C7D4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266E94C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B4E43C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48C568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6E0075B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B86FC23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483888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5199D9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19</w:t>
            </w:r>
          </w:p>
          <w:p w14:paraId="72C0E341" w14:textId="77777777" w:rsidR="00C013BF" w:rsidRPr="008C5C43" w:rsidRDefault="00C013BF" w:rsidP="00FE26C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CDB369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23</w:t>
            </w:r>
          </w:p>
          <w:p w14:paraId="30CB0492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(121%)</w:t>
            </w:r>
          </w:p>
        </w:tc>
        <w:tc>
          <w:tcPr>
            <w:tcW w:w="960" w:type="dxa"/>
            <w:noWrap/>
            <w:hideMark/>
          </w:tcPr>
          <w:p w14:paraId="777B1F4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24</w:t>
            </w:r>
          </w:p>
          <w:p w14:paraId="496C5A4F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(126%)</w:t>
            </w:r>
          </w:p>
        </w:tc>
      </w:tr>
      <w:tr w:rsidR="00831901" w:rsidRPr="008C5C43" w14:paraId="1C4419E4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69AC838F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60" w:type="dxa"/>
            <w:noWrap/>
            <w:hideMark/>
          </w:tcPr>
          <w:p w14:paraId="1A3FF26C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38</w:t>
            </w:r>
          </w:p>
        </w:tc>
        <w:tc>
          <w:tcPr>
            <w:tcW w:w="1040" w:type="dxa"/>
            <w:noWrap/>
            <w:hideMark/>
          </w:tcPr>
          <w:p w14:paraId="2243DB2C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203BFAD5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8127AAC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7F8E24A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620E078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F42927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7F8C3D4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D7D807F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42B751DE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28</w:t>
            </w:r>
          </w:p>
        </w:tc>
        <w:tc>
          <w:tcPr>
            <w:tcW w:w="960" w:type="dxa"/>
            <w:noWrap/>
            <w:hideMark/>
          </w:tcPr>
          <w:p w14:paraId="0DCC814D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27</w:t>
            </w:r>
          </w:p>
          <w:p w14:paraId="79891DAB" w14:textId="77777777" w:rsidR="00C013BF" w:rsidRPr="008C5C43" w:rsidRDefault="00C013BF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(96.4%)</w:t>
            </w:r>
          </w:p>
        </w:tc>
      </w:tr>
      <w:tr w:rsidR="00831901" w:rsidRPr="008C5C43" w14:paraId="4A9DAFE1" w14:textId="77777777" w:rsidTr="00831901">
        <w:trPr>
          <w:trHeight w:val="300"/>
        </w:trPr>
        <w:tc>
          <w:tcPr>
            <w:tcW w:w="960" w:type="dxa"/>
            <w:noWrap/>
            <w:hideMark/>
          </w:tcPr>
          <w:p w14:paraId="7BA20189" w14:textId="77777777" w:rsidR="00831901" w:rsidRPr="008C5C43" w:rsidRDefault="00831901" w:rsidP="00FE26C5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8C5C43">
              <w:rPr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60" w:type="dxa"/>
            <w:noWrap/>
            <w:hideMark/>
          </w:tcPr>
          <w:p w14:paraId="1121F07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34</w:t>
            </w:r>
          </w:p>
        </w:tc>
        <w:tc>
          <w:tcPr>
            <w:tcW w:w="1040" w:type="dxa"/>
            <w:noWrap/>
            <w:hideMark/>
          </w:tcPr>
          <w:p w14:paraId="5E11C25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noWrap/>
            <w:hideMark/>
          </w:tcPr>
          <w:p w14:paraId="6A5972A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04902B7E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29E1247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3D3FC836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52F08C31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13F261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EA43418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1C6F2F00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hideMark/>
          </w:tcPr>
          <w:p w14:paraId="706AC1E7" w14:textId="77777777" w:rsidR="00831901" w:rsidRPr="008C5C43" w:rsidRDefault="00831901" w:rsidP="00FE26C5">
            <w:pPr>
              <w:contextualSpacing/>
              <w:jc w:val="center"/>
              <w:rPr>
                <w:sz w:val="20"/>
                <w:szCs w:val="20"/>
              </w:rPr>
            </w:pPr>
            <w:r w:rsidRPr="008C5C43">
              <w:rPr>
                <w:sz w:val="20"/>
                <w:szCs w:val="20"/>
              </w:rPr>
              <w:t>25</w:t>
            </w:r>
          </w:p>
        </w:tc>
      </w:tr>
    </w:tbl>
    <w:p w14:paraId="1E713969" w14:textId="77777777" w:rsidR="00831901" w:rsidRPr="008C5C43" w:rsidRDefault="00831901" w:rsidP="00FE26C5">
      <w:pPr>
        <w:rPr>
          <w:sz w:val="20"/>
          <w:szCs w:val="20"/>
        </w:rPr>
      </w:pPr>
      <w:r w:rsidRPr="008C5C43">
        <w:rPr>
          <w:sz w:val="20"/>
          <w:szCs w:val="20"/>
        </w:rPr>
        <w:fldChar w:fldCharType="end"/>
      </w:r>
      <w:r w:rsidR="00FE26C5" w:rsidRPr="008C5C43">
        <w:rPr>
          <w:sz w:val="20"/>
          <w:szCs w:val="20"/>
        </w:rPr>
        <w:t>Note:  First number in column for year represents the baseline for the year for which retention is calculated.  Yellow highlights are the 5</w:t>
      </w:r>
      <w:r w:rsidR="00FE26C5" w:rsidRPr="008C5C43">
        <w:rPr>
          <w:sz w:val="20"/>
          <w:szCs w:val="20"/>
          <w:vertAlign w:val="superscript"/>
        </w:rPr>
        <w:t>th</w:t>
      </w:r>
      <w:r w:rsidR="00FE26C5" w:rsidRPr="008C5C43">
        <w:rPr>
          <w:sz w:val="20"/>
          <w:szCs w:val="20"/>
        </w:rPr>
        <w:t xml:space="preserve"> year retention rates for any given year.</w:t>
      </w:r>
    </w:p>
    <w:sectPr w:rsidR="00831901" w:rsidRPr="008C5C43" w:rsidSect="008319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01"/>
    <w:rsid w:val="00004DF9"/>
    <w:rsid w:val="000F2023"/>
    <w:rsid w:val="003A0717"/>
    <w:rsid w:val="003F3A06"/>
    <w:rsid w:val="004656EB"/>
    <w:rsid w:val="004902F3"/>
    <w:rsid w:val="005D5415"/>
    <w:rsid w:val="00631E3F"/>
    <w:rsid w:val="007E6DCC"/>
    <w:rsid w:val="00831901"/>
    <w:rsid w:val="008C5C43"/>
    <w:rsid w:val="009225E5"/>
    <w:rsid w:val="00C013BF"/>
    <w:rsid w:val="00E13392"/>
    <w:rsid w:val="00E24202"/>
    <w:rsid w:val="00E93D68"/>
    <w:rsid w:val="00FE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E86AF"/>
  <w15:chartTrackingRefBased/>
  <w15:docId w15:val="{578B3BF5-2ADD-4DAC-899F-7695678F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1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sde.org/Portals/0/Communications/Publications/BRTF%20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Brewer</dc:creator>
  <cp:keywords/>
  <dc:description/>
  <cp:lastModifiedBy>Terri Kaiser</cp:lastModifiedBy>
  <cp:revision>2</cp:revision>
  <dcterms:created xsi:type="dcterms:W3CDTF">2019-04-18T17:48:00Z</dcterms:created>
  <dcterms:modified xsi:type="dcterms:W3CDTF">2019-04-18T17:48:00Z</dcterms:modified>
</cp:coreProperties>
</file>