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6AFCB" w14:textId="2FACE1B2" w:rsidR="005D007E" w:rsidRPr="009A2D96" w:rsidRDefault="003624A5" w:rsidP="009A2D96">
      <w:pPr>
        <w:spacing w:line="240" w:lineRule="auto"/>
        <w:contextualSpacing/>
        <w:jc w:val="center"/>
        <w:rPr>
          <w:b/>
          <w:sz w:val="28"/>
          <w:szCs w:val="28"/>
        </w:rPr>
      </w:pPr>
      <w:bookmarkStart w:id="0" w:name="_GoBack"/>
      <w:bookmarkEnd w:id="0"/>
      <w:r>
        <w:rPr>
          <w:b/>
          <w:sz w:val="28"/>
          <w:szCs w:val="28"/>
        </w:rPr>
        <w:t xml:space="preserve">Completer </w:t>
      </w:r>
      <w:r w:rsidR="009A2D96" w:rsidRPr="009A2D96">
        <w:rPr>
          <w:b/>
          <w:sz w:val="28"/>
          <w:szCs w:val="28"/>
        </w:rPr>
        <w:t>Teacher Effectiveness Data</w:t>
      </w:r>
    </w:p>
    <w:p w14:paraId="48EBB81C" w14:textId="77777777" w:rsidR="00364D3E" w:rsidRDefault="00364D3E" w:rsidP="000037D7">
      <w:pPr>
        <w:spacing w:line="240" w:lineRule="auto"/>
        <w:contextualSpacing/>
        <w:rPr>
          <w:b/>
          <w:sz w:val="24"/>
          <w:szCs w:val="24"/>
        </w:rPr>
      </w:pPr>
    </w:p>
    <w:p w14:paraId="1602E271" w14:textId="63AC8508" w:rsidR="00C31DD1" w:rsidRDefault="006D060B" w:rsidP="00364D3E">
      <w:pPr>
        <w:spacing w:line="240" w:lineRule="auto"/>
        <w:contextualSpacing/>
        <w:rPr>
          <w:sz w:val="24"/>
          <w:szCs w:val="24"/>
        </w:rPr>
      </w:pPr>
      <w:r>
        <w:rPr>
          <w:sz w:val="24"/>
          <w:szCs w:val="24"/>
        </w:rPr>
        <w:t xml:space="preserve">The state of Kansas requires each district to have a teacher evaluation system. Districts may choose to use the state’s tool, the Kansas Educator Evaluation Protocol (KEEP), choose another valid and reliable tool or construct their own. Any tool outside the KEEP used by a district must be approved by the Kansas State Department of Education (KSDE). </w:t>
      </w:r>
      <w:r w:rsidR="004522D2">
        <w:rPr>
          <w:sz w:val="24"/>
          <w:szCs w:val="24"/>
        </w:rPr>
        <w:t>This analysis</w:t>
      </w:r>
      <w:r>
        <w:rPr>
          <w:sz w:val="24"/>
          <w:szCs w:val="24"/>
        </w:rPr>
        <w:t xml:space="preserve"> use</w:t>
      </w:r>
      <w:r w:rsidR="004522D2">
        <w:rPr>
          <w:sz w:val="24"/>
          <w:szCs w:val="24"/>
        </w:rPr>
        <w:t>d</w:t>
      </w:r>
      <w:r>
        <w:rPr>
          <w:sz w:val="24"/>
          <w:szCs w:val="24"/>
        </w:rPr>
        <w:t xml:space="preserve"> the </w:t>
      </w:r>
      <w:proofErr w:type="spellStart"/>
      <w:r>
        <w:rPr>
          <w:sz w:val="24"/>
          <w:szCs w:val="24"/>
        </w:rPr>
        <w:t>McRel</w:t>
      </w:r>
      <w:proofErr w:type="spellEnd"/>
      <w:r>
        <w:rPr>
          <w:sz w:val="24"/>
          <w:szCs w:val="24"/>
        </w:rPr>
        <w:t xml:space="preserve"> Teacher Evaluation System. This system has been approved for use by KSDE. </w:t>
      </w:r>
      <w:r w:rsidR="00812041">
        <w:rPr>
          <w:sz w:val="24"/>
          <w:szCs w:val="24"/>
        </w:rPr>
        <w:t>“</w:t>
      </w:r>
      <w:proofErr w:type="spellStart"/>
      <w:r w:rsidR="00C31DD1" w:rsidRPr="00C31DD1">
        <w:rPr>
          <w:sz w:val="24"/>
          <w:szCs w:val="24"/>
        </w:rPr>
        <w:t>McREL’s</w:t>
      </w:r>
      <w:proofErr w:type="spellEnd"/>
      <w:r w:rsidR="00C31DD1" w:rsidRPr="00C31DD1">
        <w:rPr>
          <w:sz w:val="24"/>
          <w:szCs w:val="24"/>
        </w:rPr>
        <w:t xml:space="preserve"> Teacher Evaluation System is designed to (1) assess a teacher’s performance as it relates to the</w:t>
      </w:r>
      <w:r w:rsidR="00812041">
        <w:rPr>
          <w:sz w:val="24"/>
          <w:szCs w:val="24"/>
        </w:rPr>
        <w:t xml:space="preserve"> </w:t>
      </w:r>
      <w:r w:rsidR="00C31DD1" w:rsidRPr="00C31DD1">
        <w:rPr>
          <w:sz w:val="24"/>
          <w:szCs w:val="24"/>
        </w:rPr>
        <w:t>Professional Teaching Standards, and (2) serve as the basis for developing a professional growth plan. The</w:t>
      </w:r>
      <w:r w:rsidR="00812041">
        <w:rPr>
          <w:sz w:val="24"/>
          <w:szCs w:val="24"/>
        </w:rPr>
        <w:t xml:space="preserve"> </w:t>
      </w:r>
      <w:r w:rsidR="00C31DD1" w:rsidRPr="00C31DD1">
        <w:rPr>
          <w:sz w:val="24"/>
          <w:szCs w:val="24"/>
        </w:rPr>
        <w:t>principal/evaluator conducts the evaluation process, in which the teacher actively participates, through the</w:t>
      </w:r>
      <w:r w:rsidR="00812041">
        <w:rPr>
          <w:sz w:val="24"/>
          <w:szCs w:val="24"/>
        </w:rPr>
        <w:t xml:space="preserve"> </w:t>
      </w:r>
      <w:r w:rsidR="00C31DD1" w:rsidRPr="00C31DD1">
        <w:rPr>
          <w:sz w:val="24"/>
          <w:szCs w:val="24"/>
        </w:rPr>
        <w:t>use of self-assessment, reflection, presentation of artifacts, and classroom demonstrations(s)</w:t>
      </w:r>
      <w:r w:rsidR="00812041">
        <w:rPr>
          <w:sz w:val="24"/>
          <w:szCs w:val="24"/>
        </w:rPr>
        <w:t xml:space="preserve"> (Source:</w:t>
      </w:r>
      <w:r w:rsidR="00812041" w:rsidRPr="00812041">
        <w:t xml:space="preserve"> </w:t>
      </w:r>
      <w:hyperlink r:id="rId5" w:history="1">
        <w:r w:rsidR="00812041" w:rsidRPr="00BE0756">
          <w:rPr>
            <w:rStyle w:val="Hyperlink"/>
            <w:sz w:val="24"/>
            <w:szCs w:val="24"/>
          </w:rPr>
          <w:t>http://www.lakeviewschools.net/uploads/McREL/McREL_TeacherRubricSystem%20FINAL%2007_10.pdf</w:t>
        </w:r>
      </w:hyperlink>
      <w:r w:rsidR="004522D2">
        <w:rPr>
          <w:sz w:val="24"/>
          <w:szCs w:val="24"/>
        </w:rPr>
        <w:t>, page 9).”</w:t>
      </w:r>
    </w:p>
    <w:p w14:paraId="07B5BB7B" w14:textId="77777777" w:rsidR="006D060B" w:rsidRDefault="006D060B" w:rsidP="00364D3E">
      <w:pPr>
        <w:spacing w:line="240" w:lineRule="auto"/>
        <w:contextualSpacing/>
        <w:rPr>
          <w:sz w:val="24"/>
          <w:szCs w:val="24"/>
        </w:rPr>
      </w:pPr>
    </w:p>
    <w:p w14:paraId="61E61A86" w14:textId="77777777" w:rsidR="006D060B" w:rsidRDefault="006D060B" w:rsidP="006D060B">
      <w:pPr>
        <w:spacing w:line="240" w:lineRule="auto"/>
        <w:contextualSpacing/>
        <w:rPr>
          <w:sz w:val="24"/>
          <w:szCs w:val="24"/>
        </w:rPr>
      </w:pPr>
      <w:proofErr w:type="spellStart"/>
      <w:r>
        <w:rPr>
          <w:b/>
          <w:sz w:val="24"/>
          <w:szCs w:val="24"/>
        </w:rPr>
        <w:t>McRel</w:t>
      </w:r>
      <w:proofErr w:type="spellEnd"/>
      <w:r>
        <w:rPr>
          <w:b/>
          <w:sz w:val="24"/>
          <w:szCs w:val="24"/>
        </w:rPr>
        <w:t xml:space="preserve"> Rating Scale:</w:t>
      </w:r>
      <w:r>
        <w:rPr>
          <w:b/>
          <w:sz w:val="24"/>
          <w:szCs w:val="24"/>
        </w:rPr>
        <w:tab/>
      </w:r>
    </w:p>
    <w:tbl>
      <w:tblPr>
        <w:tblStyle w:val="TableGrid"/>
        <w:tblW w:w="0" w:type="auto"/>
        <w:tblLook w:val="04A0" w:firstRow="1" w:lastRow="0" w:firstColumn="1" w:lastColumn="0" w:noHBand="0" w:noVBand="1"/>
      </w:tblPr>
      <w:tblGrid>
        <w:gridCol w:w="2875"/>
        <w:gridCol w:w="10075"/>
      </w:tblGrid>
      <w:tr w:rsidR="006D060B" w14:paraId="2A21C2C0" w14:textId="77777777" w:rsidTr="003D686E">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3947366" w14:textId="77777777" w:rsidR="006D060B" w:rsidRDefault="006D060B" w:rsidP="003D686E">
            <w:pPr>
              <w:contextualSpacing/>
              <w:rPr>
                <w:b/>
                <w:sz w:val="24"/>
                <w:szCs w:val="24"/>
              </w:rPr>
            </w:pPr>
            <w:r>
              <w:rPr>
                <w:b/>
                <w:sz w:val="24"/>
                <w:szCs w:val="24"/>
              </w:rPr>
              <w:t>Performance Rating</w:t>
            </w:r>
          </w:p>
        </w:tc>
        <w:tc>
          <w:tcPr>
            <w:tcW w:w="10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1BFF67" w14:textId="77777777" w:rsidR="006D060B" w:rsidRDefault="006D060B" w:rsidP="003D686E">
            <w:pPr>
              <w:contextualSpacing/>
              <w:rPr>
                <w:b/>
                <w:sz w:val="24"/>
                <w:szCs w:val="24"/>
              </w:rPr>
            </w:pPr>
            <w:r>
              <w:rPr>
                <w:b/>
                <w:sz w:val="24"/>
                <w:szCs w:val="24"/>
              </w:rPr>
              <w:t>Definition</w:t>
            </w:r>
          </w:p>
        </w:tc>
      </w:tr>
      <w:tr w:rsidR="006D060B" w14:paraId="5A6414D1" w14:textId="77777777" w:rsidTr="003D686E">
        <w:tc>
          <w:tcPr>
            <w:tcW w:w="2875" w:type="dxa"/>
            <w:tcBorders>
              <w:top w:val="single" w:sz="4" w:space="0" w:color="auto"/>
              <w:left w:val="single" w:sz="4" w:space="0" w:color="auto"/>
              <w:bottom w:val="single" w:sz="4" w:space="0" w:color="auto"/>
              <w:right w:val="single" w:sz="4" w:space="0" w:color="auto"/>
            </w:tcBorders>
            <w:hideMark/>
          </w:tcPr>
          <w:p w14:paraId="6C38F94B" w14:textId="77777777" w:rsidR="006D060B" w:rsidRDefault="006D060B" w:rsidP="003D686E">
            <w:pPr>
              <w:contextualSpacing/>
              <w:rPr>
                <w:b/>
                <w:sz w:val="24"/>
                <w:szCs w:val="24"/>
              </w:rPr>
            </w:pPr>
            <w:r>
              <w:rPr>
                <w:b/>
                <w:sz w:val="24"/>
                <w:szCs w:val="24"/>
              </w:rPr>
              <w:t>Developing (1)</w:t>
            </w:r>
          </w:p>
        </w:tc>
        <w:tc>
          <w:tcPr>
            <w:tcW w:w="10075" w:type="dxa"/>
            <w:tcBorders>
              <w:top w:val="single" w:sz="4" w:space="0" w:color="auto"/>
              <w:left w:val="single" w:sz="4" w:space="0" w:color="auto"/>
              <w:bottom w:val="single" w:sz="4" w:space="0" w:color="auto"/>
              <w:right w:val="single" w:sz="4" w:space="0" w:color="auto"/>
            </w:tcBorders>
            <w:hideMark/>
          </w:tcPr>
          <w:p w14:paraId="60C0AAC4" w14:textId="77777777" w:rsidR="006D060B" w:rsidRDefault="006D060B" w:rsidP="003D686E">
            <w:pPr>
              <w:contextualSpacing/>
              <w:rPr>
                <w:sz w:val="24"/>
                <w:szCs w:val="24"/>
              </w:rPr>
            </w:pPr>
            <w:r>
              <w:rPr>
                <w:sz w:val="24"/>
                <w:szCs w:val="24"/>
              </w:rPr>
              <w:t>The teacher demonstrated adequate growth toward achieving proficiency on the standard(s) or element(s).</w:t>
            </w:r>
          </w:p>
        </w:tc>
      </w:tr>
      <w:tr w:rsidR="006D060B" w14:paraId="12DE8092" w14:textId="77777777" w:rsidTr="003D686E">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F7A2E" w14:textId="77777777" w:rsidR="006D060B" w:rsidRDefault="006D060B" w:rsidP="003D686E">
            <w:pPr>
              <w:contextualSpacing/>
              <w:rPr>
                <w:b/>
                <w:sz w:val="24"/>
                <w:szCs w:val="24"/>
              </w:rPr>
            </w:pPr>
            <w:r>
              <w:rPr>
                <w:b/>
                <w:sz w:val="24"/>
                <w:szCs w:val="24"/>
              </w:rPr>
              <w:t>Proficient (2)</w:t>
            </w:r>
          </w:p>
        </w:tc>
        <w:tc>
          <w:tcPr>
            <w:tcW w:w="10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F11E6" w14:textId="77777777" w:rsidR="006D060B" w:rsidRDefault="006D060B" w:rsidP="003D686E">
            <w:pPr>
              <w:contextualSpacing/>
              <w:rPr>
                <w:sz w:val="24"/>
                <w:szCs w:val="24"/>
              </w:rPr>
            </w:pPr>
            <w:r>
              <w:rPr>
                <w:sz w:val="24"/>
                <w:szCs w:val="24"/>
              </w:rPr>
              <w:t>The teacher demonstrated basic competence on the standard(s) or element(s).</w:t>
            </w:r>
          </w:p>
        </w:tc>
      </w:tr>
      <w:tr w:rsidR="006D060B" w14:paraId="5028B19A" w14:textId="77777777" w:rsidTr="003D686E">
        <w:tc>
          <w:tcPr>
            <w:tcW w:w="2875" w:type="dxa"/>
            <w:tcBorders>
              <w:top w:val="single" w:sz="4" w:space="0" w:color="auto"/>
              <w:left w:val="single" w:sz="4" w:space="0" w:color="auto"/>
              <w:bottom w:val="single" w:sz="4" w:space="0" w:color="auto"/>
              <w:right w:val="single" w:sz="4" w:space="0" w:color="auto"/>
            </w:tcBorders>
            <w:hideMark/>
          </w:tcPr>
          <w:p w14:paraId="7CF7169C" w14:textId="77777777" w:rsidR="006D060B" w:rsidRDefault="006D060B" w:rsidP="003D686E">
            <w:pPr>
              <w:contextualSpacing/>
              <w:rPr>
                <w:b/>
                <w:sz w:val="24"/>
                <w:szCs w:val="24"/>
              </w:rPr>
            </w:pPr>
            <w:r>
              <w:rPr>
                <w:b/>
                <w:sz w:val="24"/>
                <w:szCs w:val="24"/>
              </w:rPr>
              <w:t>Accomplished (3)</w:t>
            </w:r>
          </w:p>
        </w:tc>
        <w:tc>
          <w:tcPr>
            <w:tcW w:w="10075" w:type="dxa"/>
            <w:tcBorders>
              <w:top w:val="single" w:sz="4" w:space="0" w:color="auto"/>
              <w:left w:val="single" w:sz="4" w:space="0" w:color="auto"/>
              <w:bottom w:val="single" w:sz="4" w:space="0" w:color="auto"/>
              <w:right w:val="single" w:sz="4" w:space="0" w:color="auto"/>
            </w:tcBorders>
            <w:hideMark/>
          </w:tcPr>
          <w:p w14:paraId="2E2B5A01" w14:textId="77777777" w:rsidR="006D060B" w:rsidRDefault="006D060B" w:rsidP="003D686E">
            <w:pPr>
              <w:contextualSpacing/>
              <w:rPr>
                <w:sz w:val="24"/>
                <w:szCs w:val="24"/>
              </w:rPr>
            </w:pPr>
            <w:r>
              <w:rPr>
                <w:sz w:val="24"/>
                <w:szCs w:val="24"/>
              </w:rPr>
              <w:t>The teacher exceeded basic competence on the standard(s) or element(s).</w:t>
            </w:r>
          </w:p>
        </w:tc>
      </w:tr>
      <w:tr w:rsidR="006D060B" w14:paraId="68AAD4FE" w14:textId="77777777" w:rsidTr="003D686E">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324799" w14:textId="77777777" w:rsidR="006D060B" w:rsidRDefault="006D060B" w:rsidP="003D686E">
            <w:pPr>
              <w:contextualSpacing/>
              <w:rPr>
                <w:b/>
                <w:sz w:val="24"/>
                <w:szCs w:val="24"/>
              </w:rPr>
            </w:pPr>
            <w:r>
              <w:rPr>
                <w:b/>
                <w:sz w:val="24"/>
                <w:szCs w:val="24"/>
              </w:rPr>
              <w:t>Distinguished (4)</w:t>
            </w:r>
          </w:p>
        </w:tc>
        <w:tc>
          <w:tcPr>
            <w:tcW w:w="10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18C93" w14:textId="77777777" w:rsidR="006D060B" w:rsidRDefault="006D060B" w:rsidP="003D686E">
            <w:pPr>
              <w:contextualSpacing/>
              <w:rPr>
                <w:sz w:val="24"/>
                <w:szCs w:val="24"/>
              </w:rPr>
            </w:pPr>
            <w:r>
              <w:rPr>
                <w:sz w:val="24"/>
                <w:szCs w:val="24"/>
              </w:rPr>
              <w:t>The teacher consistently and significantly exceeded basic competence on the standard(s) or element(s).</w:t>
            </w:r>
          </w:p>
        </w:tc>
      </w:tr>
      <w:tr w:rsidR="006D060B" w14:paraId="3CF4AE3D" w14:textId="77777777" w:rsidTr="003D686E">
        <w:tc>
          <w:tcPr>
            <w:tcW w:w="2875" w:type="dxa"/>
            <w:tcBorders>
              <w:top w:val="single" w:sz="4" w:space="0" w:color="auto"/>
              <w:left w:val="single" w:sz="4" w:space="0" w:color="auto"/>
              <w:bottom w:val="single" w:sz="4" w:space="0" w:color="auto"/>
              <w:right w:val="single" w:sz="4" w:space="0" w:color="auto"/>
            </w:tcBorders>
            <w:hideMark/>
          </w:tcPr>
          <w:p w14:paraId="7CB9FC32" w14:textId="77777777" w:rsidR="006D060B" w:rsidRDefault="006D060B" w:rsidP="003D686E">
            <w:pPr>
              <w:contextualSpacing/>
              <w:rPr>
                <w:b/>
                <w:sz w:val="24"/>
                <w:szCs w:val="24"/>
              </w:rPr>
            </w:pPr>
            <w:r>
              <w:rPr>
                <w:b/>
                <w:sz w:val="24"/>
                <w:szCs w:val="24"/>
              </w:rPr>
              <w:t>No Demonstrated (0)</w:t>
            </w:r>
          </w:p>
        </w:tc>
        <w:tc>
          <w:tcPr>
            <w:tcW w:w="10075" w:type="dxa"/>
            <w:tcBorders>
              <w:top w:val="single" w:sz="4" w:space="0" w:color="auto"/>
              <w:left w:val="single" w:sz="4" w:space="0" w:color="auto"/>
              <w:bottom w:val="single" w:sz="4" w:space="0" w:color="auto"/>
              <w:right w:val="single" w:sz="4" w:space="0" w:color="auto"/>
            </w:tcBorders>
            <w:hideMark/>
          </w:tcPr>
          <w:p w14:paraId="060D07E6" w14:textId="77777777" w:rsidR="006D060B" w:rsidRDefault="006D060B" w:rsidP="003D686E">
            <w:pPr>
              <w:contextualSpacing/>
              <w:rPr>
                <w:sz w:val="24"/>
                <w:szCs w:val="24"/>
              </w:rPr>
            </w:pPr>
            <w:r>
              <w:rPr>
                <w:sz w:val="24"/>
                <w:szCs w:val="24"/>
              </w:rPr>
              <w:t xml:space="preserve">The teacher did not demonstrate competence on nor demonstrate adequate growth toward achieving a minimum rating of developing on the standard(s) or element(s). </w:t>
            </w:r>
          </w:p>
        </w:tc>
      </w:tr>
    </w:tbl>
    <w:p w14:paraId="649F4CCB" w14:textId="77777777" w:rsidR="004522D2" w:rsidRDefault="004522D2" w:rsidP="00364D3E">
      <w:pPr>
        <w:spacing w:line="240" w:lineRule="auto"/>
        <w:contextualSpacing/>
        <w:rPr>
          <w:sz w:val="24"/>
          <w:szCs w:val="24"/>
        </w:rPr>
      </w:pPr>
    </w:p>
    <w:p w14:paraId="11CD3008" w14:textId="508EE3D9" w:rsidR="00C31DD1" w:rsidRDefault="006D060B" w:rsidP="00364D3E">
      <w:pPr>
        <w:spacing w:line="240" w:lineRule="auto"/>
        <w:contextualSpacing/>
        <w:rPr>
          <w:sz w:val="24"/>
          <w:szCs w:val="24"/>
        </w:rPr>
      </w:pPr>
      <w:proofErr w:type="spellStart"/>
      <w:r>
        <w:rPr>
          <w:sz w:val="24"/>
          <w:szCs w:val="24"/>
        </w:rPr>
        <w:t>McRel</w:t>
      </w:r>
      <w:proofErr w:type="spellEnd"/>
      <w:r>
        <w:rPr>
          <w:sz w:val="24"/>
          <w:szCs w:val="24"/>
        </w:rPr>
        <w:t xml:space="preserve"> Teacher Evaluati</w:t>
      </w:r>
      <w:r w:rsidR="00126440">
        <w:rPr>
          <w:sz w:val="24"/>
          <w:szCs w:val="24"/>
        </w:rPr>
        <w:t xml:space="preserve">on data </w:t>
      </w:r>
      <w:r w:rsidR="004522D2">
        <w:rPr>
          <w:sz w:val="24"/>
          <w:szCs w:val="24"/>
        </w:rPr>
        <w:t xml:space="preserve">for </w:t>
      </w:r>
      <w:r w:rsidR="00126440">
        <w:rPr>
          <w:sz w:val="24"/>
          <w:szCs w:val="24"/>
        </w:rPr>
        <w:t>new teachers beginning 2014, 2015 and 2016</w:t>
      </w:r>
      <w:r w:rsidR="004522D2">
        <w:rPr>
          <w:sz w:val="24"/>
          <w:szCs w:val="24"/>
        </w:rPr>
        <w:t xml:space="preserve"> were shared by a participating district</w:t>
      </w:r>
      <w:r>
        <w:rPr>
          <w:sz w:val="24"/>
          <w:szCs w:val="24"/>
        </w:rPr>
        <w:t xml:space="preserve">. Data were shared in aggregate form to protect teacher identity and maintain confidentiality as required by the state of Kansas. </w:t>
      </w:r>
      <w:r w:rsidR="0088745D">
        <w:rPr>
          <w:sz w:val="24"/>
          <w:szCs w:val="24"/>
        </w:rPr>
        <w:t xml:space="preserve">Data </w:t>
      </w:r>
      <w:r w:rsidR="00933B6B">
        <w:rPr>
          <w:sz w:val="24"/>
          <w:szCs w:val="24"/>
        </w:rPr>
        <w:t>were provided</w:t>
      </w:r>
      <w:r w:rsidR="0088745D">
        <w:rPr>
          <w:sz w:val="24"/>
          <w:szCs w:val="24"/>
        </w:rPr>
        <w:t xml:space="preserve"> disaggregated by completer year and level by the district. </w:t>
      </w:r>
      <w:r>
        <w:rPr>
          <w:sz w:val="24"/>
          <w:szCs w:val="24"/>
        </w:rPr>
        <w:t xml:space="preserve">Table 1 provides data for the 2014, 2015 and 2016 completers. The table provides a longitudinal view of for those completers employed by the district for </w:t>
      </w:r>
      <w:r w:rsidR="00934352">
        <w:rPr>
          <w:sz w:val="24"/>
          <w:szCs w:val="24"/>
        </w:rPr>
        <w:t xml:space="preserve">more than one year. Since data for multiple years were provided, the EPP could determine approximate mean growth for completers from one year to the next. </w:t>
      </w:r>
      <w:r w:rsidR="0088745D">
        <w:rPr>
          <w:sz w:val="24"/>
          <w:szCs w:val="24"/>
        </w:rPr>
        <w:t xml:space="preserve">While there are a few negative growth areas for 2014 </w:t>
      </w:r>
      <w:r w:rsidR="00666FF5">
        <w:rPr>
          <w:sz w:val="24"/>
          <w:szCs w:val="24"/>
        </w:rPr>
        <w:t xml:space="preserve">EPP </w:t>
      </w:r>
      <w:r w:rsidR="0088745D">
        <w:rPr>
          <w:sz w:val="24"/>
          <w:szCs w:val="24"/>
        </w:rPr>
        <w:t xml:space="preserve">completers from the second year to the third year, these data must be used with caution. In the first and second years, teachers have at least two evaluations per year, while teachers only have one evaluation in the third year. Thus, the </w:t>
      </w:r>
      <w:r w:rsidR="0088745D" w:rsidRPr="00607AD4">
        <w:rPr>
          <w:i/>
          <w:sz w:val="24"/>
          <w:szCs w:val="24"/>
        </w:rPr>
        <w:t xml:space="preserve">N </w:t>
      </w:r>
      <w:r w:rsidR="0088745D">
        <w:rPr>
          <w:sz w:val="24"/>
          <w:szCs w:val="24"/>
        </w:rPr>
        <w:t xml:space="preserve">drops significantly in the third year. From the first year to the third year, 2014 </w:t>
      </w:r>
      <w:r w:rsidR="00666FF5">
        <w:rPr>
          <w:sz w:val="24"/>
          <w:szCs w:val="24"/>
        </w:rPr>
        <w:t xml:space="preserve">EPP </w:t>
      </w:r>
      <w:r w:rsidR="0088745D">
        <w:rPr>
          <w:sz w:val="24"/>
          <w:szCs w:val="24"/>
        </w:rPr>
        <w:t xml:space="preserve">completers do demonstrate positive growth. Additionally, both 2014 and 2015 </w:t>
      </w:r>
      <w:r w:rsidR="00666FF5">
        <w:rPr>
          <w:sz w:val="24"/>
          <w:szCs w:val="24"/>
        </w:rPr>
        <w:t xml:space="preserve">EPP </w:t>
      </w:r>
      <w:r w:rsidR="0088745D">
        <w:rPr>
          <w:sz w:val="24"/>
          <w:szCs w:val="24"/>
        </w:rPr>
        <w:t>completers demonstrate</w:t>
      </w:r>
      <w:r w:rsidR="00607AD4">
        <w:rPr>
          <w:sz w:val="24"/>
          <w:szCs w:val="24"/>
        </w:rPr>
        <w:t>d</w:t>
      </w:r>
      <w:r w:rsidR="0088745D">
        <w:rPr>
          <w:sz w:val="24"/>
          <w:szCs w:val="24"/>
        </w:rPr>
        <w:t xml:space="preserve"> positive growth in all categories </w:t>
      </w:r>
      <w:r w:rsidR="00666FF5">
        <w:rPr>
          <w:sz w:val="24"/>
          <w:szCs w:val="24"/>
        </w:rPr>
        <w:t xml:space="preserve">from </w:t>
      </w:r>
      <w:r w:rsidR="00666FF5">
        <w:rPr>
          <w:sz w:val="24"/>
          <w:szCs w:val="24"/>
        </w:rPr>
        <w:lastRenderedPageBreak/>
        <w:t>year one to year two. For year one for 2014, 2015, and 2016 completers, mean data indicate</w:t>
      </w:r>
      <w:r w:rsidR="00607AD4">
        <w:rPr>
          <w:sz w:val="24"/>
          <w:szCs w:val="24"/>
        </w:rPr>
        <w:t>d</w:t>
      </w:r>
      <w:r w:rsidR="00666FF5">
        <w:rPr>
          <w:sz w:val="24"/>
          <w:szCs w:val="24"/>
        </w:rPr>
        <w:t xml:space="preserve"> EPP completers </w:t>
      </w:r>
      <w:r w:rsidR="00607AD4">
        <w:rPr>
          <w:sz w:val="24"/>
          <w:szCs w:val="24"/>
        </w:rPr>
        <w:t>we</w:t>
      </w:r>
      <w:r w:rsidR="00666FF5">
        <w:rPr>
          <w:sz w:val="24"/>
          <w:szCs w:val="24"/>
        </w:rPr>
        <w:t xml:space="preserve">re well above developing and near proficient for each category on the </w:t>
      </w:r>
      <w:proofErr w:type="spellStart"/>
      <w:r w:rsidR="00666FF5">
        <w:rPr>
          <w:sz w:val="24"/>
          <w:szCs w:val="24"/>
        </w:rPr>
        <w:t>McRel</w:t>
      </w:r>
      <w:proofErr w:type="spellEnd"/>
      <w:r w:rsidR="00666FF5">
        <w:rPr>
          <w:sz w:val="24"/>
          <w:szCs w:val="24"/>
        </w:rPr>
        <w:t xml:space="preserve"> Teaching Evaluation rubric, and for some categories, completers had demonstrated proficiency as a first year teacher.</w:t>
      </w:r>
    </w:p>
    <w:p w14:paraId="07B85C88" w14:textId="77777777" w:rsidR="00666FF5" w:rsidRDefault="00666FF5" w:rsidP="00364D3E">
      <w:pPr>
        <w:spacing w:line="240" w:lineRule="auto"/>
        <w:contextualSpacing/>
        <w:rPr>
          <w:sz w:val="24"/>
          <w:szCs w:val="24"/>
        </w:rPr>
      </w:pPr>
    </w:p>
    <w:p w14:paraId="05AF637C" w14:textId="14C7CEB5" w:rsidR="00126440" w:rsidRDefault="00126440" w:rsidP="00126440">
      <w:pPr>
        <w:spacing w:line="240" w:lineRule="auto"/>
        <w:contextualSpacing/>
        <w:rPr>
          <w:b/>
        </w:rPr>
      </w:pPr>
      <w:r w:rsidRPr="004155D7">
        <w:rPr>
          <w:b/>
        </w:rPr>
        <w:t>Results of Extended Data Analysis</w:t>
      </w:r>
      <w:r>
        <w:rPr>
          <w:b/>
        </w:rPr>
        <w:t xml:space="preserve"> for Teacher Effectiveness Data</w:t>
      </w:r>
      <w:r w:rsidRPr="004155D7">
        <w:rPr>
          <w:b/>
        </w:rPr>
        <w:t>:</w:t>
      </w:r>
    </w:p>
    <w:p w14:paraId="34883183" w14:textId="77777777" w:rsidR="00126440" w:rsidRPr="00E941FE" w:rsidRDefault="00126440" w:rsidP="00126440">
      <w:pPr>
        <w:pStyle w:val="ListParagraph"/>
        <w:numPr>
          <w:ilvl w:val="0"/>
          <w:numId w:val="1"/>
        </w:numPr>
        <w:spacing w:line="240" w:lineRule="auto"/>
        <w:rPr>
          <w:b/>
        </w:rPr>
      </w:pPr>
      <w:r>
        <w:t xml:space="preserve">An independent samples </w:t>
      </w:r>
      <w:r w:rsidRPr="001B6F83">
        <w:rPr>
          <w:i/>
        </w:rPr>
        <w:t>t-</w:t>
      </w:r>
      <w:r>
        <w:t>test indicated there was a significant difference in elementary versus secondary 2014 completers’ first year evaluations for Standard 3B (</w:t>
      </w:r>
      <w:r w:rsidRPr="00B72466">
        <w:rPr>
          <w:i/>
        </w:rPr>
        <w:t>t</w:t>
      </w:r>
      <w:r>
        <w:t xml:space="preserve">=-2.412, </w:t>
      </w:r>
      <w:r w:rsidRPr="00B72466">
        <w:rPr>
          <w:i/>
        </w:rPr>
        <w:t>p</w:t>
      </w:r>
      <w:r>
        <w:t xml:space="preserve">&lt;.05; elementary mean=2.06; secondary mean=2.50). Standard 2B: </w:t>
      </w:r>
      <w:r w:rsidRPr="00B45637">
        <w:rPr>
          <w:i/>
        </w:rPr>
        <w:t>Teachers embrace diversity in the school community and in the world</w:t>
      </w:r>
      <w:r w:rsidRPr="00B45637">
        <w:t>.</w:t>
      </w:r>
      <w:r>
        <w:t xml:space="preserve"> Table 5.0 provides the descriptive statistics. </w:t>
      </w:r>
    </w:p>
    <w:p w14:paraId="67E04189" w14:textId="77777777" w:rsidR="00126440" w:rsidRPr="00E941FE" w:rsidRDefault="00126440" w:rsidP="00126440">
      <w:pPr>
        <w:pStyle w:val="ListParagraph"/>
        <w:numPr>
          <w:ilvl w:val="0"/>
          <w:numId w:val="1"/>
        </w:numPr>
        <w:spacing w:line="240" w:lineRule="auto"/>
        <w:rPr>
          <w:b/>
        </w:rPr>
      </w:pPr>
      <w:r>
        <w:t xml:space="preserve">An independent samples </w:t>
      </w:r>
      <w:r w:rsidRPr="001B6F83">
        <w:rPr>
          <w:i/>
        </w:rPr>
        <w:t>t</w:t>
      </w:r>
      <w:r>
        <w:t>-test indicated there was a significant difference in elementary versus secondary 2015 completers’ first year evaluations for Standard 1D (</w:t>
      </w:r>
      <w:r w:rsidRPr="00B72466">
        <w:rPr>
          <w:i/>
        </w:rPr>
        <w:t>t</w:t>
      </w:r>
      <w:r>
        <w:t xml:space="preserve">=2.046, </w:t>
      </w:r>
      <w:r w:rsidRPr="00B72466">
        <w:rPr>
          <w:i/>
        </w:rPr>
        <w:t>p</w:t>
      </w:r>
      <w:r>
        <w:t>&lt;.05, elementary mean=2.09, secondary mean=1.90), Standard 1E (</w:t>
      </w:r>
      <w:r w:rsidRPr="00B72466">
        <w:rPr>
          <w:i/>
        </w:rPr>
        <w:t>t</w:t>
      </w:r>
      <w:r>
        <w:t xml:space="preserve">=3.477, </w:t>
      </w:r>
      <w:r w:rsidRPr="00B72466">
        <w:rPr>
          <w:i/>
        </w:rPr>
        <w:t>p</w:t>
      </w:r>
      <w:r>
        <w:t>&lt;.05; elementary mean=3.35, secondary mean=2.75), Standard 2B (</w:t>
      </w:r>
      <w:r w:rsidRPr="00B72466">
        <w:rPr>
          <w:i/>
        </w:rPr>
        <w:t>t</w:t>
      </w:r>
      <w:r>
        <w:t xml:space="preserve">=-2.546, </w:t>
      </w:r>
      <w:r w:rsidRPr="00B72466">
        <w:rPr>
          <w:i/>
        </w:rPr>
        <w:t>p</w:t>
      </w:r>
      <w:r>
        <w:t>&lt;.05, elementary mean=1.78, secondary mean=2.30), Standard 3B (</w:t>
      </w:r>
      <w:r w:rsidRPr="00B72466">
        <w:rPr>
          <w:i/>
        </w:rPr>
        <w:t>t</w:t>
      </w:r>
      <w:r>
        <w:t xml:space="preserve">=-2.207, </w:t>
      </w:r>
      <w:r w:rsidRPr="00B72466">
        <w:rPr>
          <w:i/>
        </w:rPr>
        <w:t>p</w:t>
      </w:r>
      <w:r>
        <w:t>&lt;.05, elementary mean=2.00, secondary mean=2.35), Standard 3C (</w:t>
      </w:r>
      <w:r w:rsidRPr="00B72466">
        <w:rPr>
          <w:i/>
        </w:rPr>
        <w:t>t</w:t>
      </w:r>
      <w:r>
        <w:t xml:space="preserve">=-3.555, </w:t>
      </w:r>
      <w:r w:rsidRPr="00B72466">
        <w:rPr>
          <w:i/>
        </w:rPr>
        <w:t>p</w:t>
      </w:r>
      <w:r>
        <w:t>&lt;.05, elementary mean=1.65, secondary mean=2.20), Standard 3D (</w:t>
      </w:r>
      <w:r w:rsidRPr="00B72466">
        <w:rPr>
          <w:i/>
        </w:rPr>
        <w:t>t</w:t>
      </w:r>
      <w:r>
        <w:t xml:space="preserve">=-2.315, </w:t>
      </w:r>
      <w:r w:rsidRPr="00B72466">
        <w:rPr>
          <w:i/>
        </w:rPr>
        <w:t>p</w:t>
      </w:r>
      <w:r>
        <w:t>&lt;.05, elementary mean=1.65, secondary mean=2.10), Standard 3 Total Score (</w:t>
      </w:r>
      <w:r w:rsidRPr="00B72466">
        <w:rPr>
          <w:i/>
        </w:rPr>
        <w:t>t</w:t>
      </w:r>
      <w:r>
        <w:t xml:space="preserve">=-2.423, </w:t>
      </w:r>
      <w:r w:rsidRPr="00B72466">
        <w:rPr>
          <w:i/>
        </w:rPr>
        <w:t>p</w:t>
      </w:r>
      <w:r>
        <w:t>&lt;.05, elementary mean=1.70, secondary mean=2.15), Standard 4C (</w:t>
      </w:r>
      <w:r w:rsidRPr="00B72466">
        <w:rPr>
          <w:i/>
        </w:rPr>
        <w:t>t</w:t>
      </w:r>
      <w:r>
        <w:t xml:space="preserve">=-2.757, </w:t>
      </w:r>
      <w:r w:rsidRPr="00B72466">
        <w:rPr>
          <w:i/>
        </w:rPr>
        <w:t>p</w:t>
      </w:r>
      <w:r>
        <w:t>&lt;.05; elementary mean=1.70, secondary mean=2.30), Standard 4H (</w:t>
      </w:r>
      <w:r w:rsidRPr="00B72466">
        <w:rPr>
          <w:i/>
        </w:rPr>
        <w:t>t</w:t>
      </w:r>
      <w:r>
        <w:t xml:space="preserve">=-2.274, </w:t>
      </w:r>
      <w:r w:rsidRPr="00B72466">
        <w:rPr>
          <w:i/>
        </w:rPr>
        <w:t>p</w:t>
      </w:r>
      <w:r>
        <w:t>&lt;.05, elementary mean=1.65, secondary mean=2.10), Standard 4 Total Score (</w:t>
      </w:r>
      <w:r w:rsidRPr="00B72466">
        <w:rPr>
          <w:i/>
        </w:rPr>
        <w:t>t</w:t>
      </w:r>
      <w:r>
        <w:t xml:space="preserve">=-2.150, </w:t>
      </w:r>
      <w:r w:rsidRPr="00B72466">
        <w:rPr>
          <w:i/>
        </w:rPr>
        <w:t>p</w:t>
      </w:r>
      <w:r>
        <w:t>&lt;.05, elementary mean=1.83, secondary mean=2.25), Standard 5B (</w:t>
      </w:r>
      <w:r w:rsidRPr="00B72466">
        <w:rPr>
          <w:i/>
        </w:rPr>
        <w:t>t</w:t>
      </w:r>
      <w:r>
        <w:t xml:space="preserve">=3.529, </w:t>
      </w:r>
      <w:r w:rsidRPr="00B72466">
        <w:rPr>
          <w:i/>
        </w:rPr>
        <w:t>p</w:t>
      </w:r>
      <w:r>
        <w:t xml:space="preserve">&lt;.05, elementary mean=2.96, secondary mean=2.20). Table 6.0 provides the descriptive statistics. </w:t>
      </w:r>
    </w:p>
    <w:p w14:paraId="213F0188" w14:textId="77777777" w:rsidR="00126440" w:rsidRPr="005F47A0" w:rsidRDefault="00126440" w:rsidP="00126440">
      <w:pPr>
        <w:pStyle w:val="ListParagraph"/>
        <w:numPr>
          <w:ilvl w:val="0"/>
          <w:numId w:val="1"/>
        </w:numPr>
        <w:spacing w:line="240" w:lineRule="auto"/>
        <w:rPr>
          <w:b/>
        </w:rPr>
      </w:pPr>
      <w:r>
        <w:t xml:space="preserve">An independent samples </w:t>
      </w:r>
      <w:r w:rsidRPr="001B6F83">
        <w:rPr>
          <w:i/>
        </w:rPr>
        <w:t>t</w:t>
      </w:r>
      <w:r>
        <w:t>-test indicated there was a significant difference in elementary versus secondary 2016 completers’ first year evaluations for Standard 2C (</w:t>
      </w:r>
      <w:r w:rsidRPr="00B72466">
        <w:rPr>
          <w:i/>
        </w:rPr>
        <w:t>t</w:t>
      </w:r>
      <w:r>
        <w:t xml:space="preserve">=2.307, p&lt;.05; elementary mean=2.62, secondary mean=2.14). Table 7.0 provides the descriptive statistics. </w:t>
      </w:r>
    </w:p>
    <w:p w14:paraId="092A934E" w14:textId="77777777" w:rsidR="00126440" w:rsidRPr="005F47A0" w:rsidRDefault="00126440" w:rsidP="00126440">
      <w:pPr>
        <w:pStyle w:val="ListParagraph"/>
        <w:numPr>
          <w:ilvl w:val="0"/>
          <w:numId w:val="1"/>
        </w:numPr>
        <w:spacing w:line="240" w:lineRule="auto"/>
        <w:rPr>
          <w:b/>
        </w:rPr>
      </w:pPr>
      <w:r>
        <w:t xml:space="preserve">Based on an independent samples </w:t>
      </w:r>
      <w:r w:rsidRPr="001B6F83">
        <w:rPr>
          <w:i/>
        </w:rPr>
        <w:t>t</w:t>
      </w:r>
      <w:r>
        <w:t>-test, 2014 mean completer scores improved significantly in a number of areas, including the total score for standards 1, 2 and 5. Growth was not statistically significant for standards 3 and 4. Table 1.0 compares evaluation data between cycles.</w:t>
      </w:r>
    </w:p>
    <w:p w14:paraId="4161C318" w14:textId="77777777" w:rsidR="00126440" w:rsidRPr="001C6932" w:rsidRDefault="00126440" w:rsidP="00126440">
      <w:pPr>
        <w:pStyle w:val="ListParagraph"/>
        <w:numPr>
          <w:ilvl w:val="0"/>
          <w:numId w:val="1"/>
        </w:numPr>
      </w:pPr>
      <w:r>
        <w:t xml:space="preserve">Based on an independent samples </w:t>
      </w:r>
      <w:r w:rsidRPr="001B6F83">
        <w:rPr>
          <w:i/>
        </w:rPr>
        <w:t>t</w:t>
      </w:r>
      <w:r>
        <w:t xml:space="preserve">-test, 2015 mean completer scores improved significantly in a number of areas, including the total score for standards 1, 2 and 5. </w:t>
      </w:r>
      <w:r w:rsidRPr="001C6932">
        <w:t>Growth was not statistically significant for standards 3 and 4. Table 1.0 compares evaluation data between cycles.</w:t>
      </w:r>
    </w:p>
    <w:p w14:paraId="5E864C8E" w14:textId="17DDAB9B" w:rsidR="00126440" w:rsidRPr="005B149C" w:rsidRDefault="00126440" w:rsidP="00126440">
      <w:pPr>
        <w:pStyle w:val="ListParagraph"/>
        <w:numPr>
          <w:ilvl w:val="0"/>
          <w:numId w:val="1"/>
        </w:numPr>
        <w:spacing w:line="240" w:lineRule="auto"/>
        <w:rPr>
          <w:b/>
        </w:rPr>
      </w:pPr>
      <w:r>
        <w:t xml:space="preserve">A one-way analysis of variance indicated there were no significant differences in </w:t>
      </w:r>
      <w:r w:rsidR="000D2F1D">
        <w:t xml:space="preserve">cohort </w:t>
      </w:r>
      <w:r>
        <w:t>completer</w:t>
      </w:r>
      <w:r w:rsidR="000D2F1D">
        <w:t xml:space="preserve"> means between 2014, 2015 and 2016</w:t>
      </w:r>
      <w:r>
        <w:t xml:space="preserve"> first-year performance on the </w:t>
      </w:r>
      <w:proofErr w:type="spellStart"/>
      <w:r>
        <w:t>McRel</w:t>
      </w:r>
      <w:proofErr w:type="spellEnd"/>
      <w:r>
        <w:t xml:space="preserve"> evaluation items.</w:t>
      </w:r>
    </w:p>
    <w:p w14:paraId="3E108C34" w14:textId="77777777" w:rsidR="00126440" w:rsidRDefault="00126440" w:rsidP="00364D3E">
      <w:pPr>
        <w:spacing w:line="240" w:lineRule="auto"/>
        <w:contextualSpacing/>
        <w:rPr>
          <w:sz w:val="24"/>
          <w:szCs w:val="24"/>
        </w:rPr>
      </w:pPr>
    </w:p>
    <w:p w14:paraId="62E0C5F3" w14:textId="673AD516" w:rsidR="002E663A" w:rsidRPr="00C31DD1" w:rsidRDefault="00666FF5" w:rsidP="00364D3E">
      <w:pPr>
        <w:spacing w:line="240" w:lineRule="auto"/>
        <w:contextualSpacing/>
        <w:rPr>
          <w:sz w:val="24"/>
          <w:szCs w:val="24"/>
        </w:rPr>
      </w:pPr>
      <w:r w:rsidRPr="00666FF5">
        <w:rPr>
          <w:sz w:val="24"/>
          <w:szCs w:val="24"/>
          <w:u w:val="single"/>
        </w:rPr>
        <w:t>Note</w:t>
      </w:r>
      <w:r>
        <w:rPr>
          <w:sz w:val="24"/>
          <w:szCs w:val="24"/>
        </w:rPr>
        <w:t xml:space="preserve">: </w:t>
      </w:r>
      <w:r w:rsidR="002E663A">
        <w:rPr>
          <w:sz w:val="24"/>
          <w:szCs w:val="24"/>
        </w:rPr>
        <w:t xml:space="preserve">In the tables below, </w:t>
      </w:r>
      <w:r w:rsidR="002E663A" w:rsidRPr="007C4E01">
        <w:rPr>
          <w:i/>
          <w:sz w:val="24"/>
          <w:szCs w:val="24"/>
        </w:rPr>
        <w:t>N</w:t>
      </w:r>
      <w:r w:rsidR="002E663A">
        <w:rPr>
          <w:sz w:val="24"/>
          <w:szCs w:val="24"/>
        </w:rPr>
        <w:t xml:space="preserve"> represents the number of evaluations occurring during that year. During year one and two in the district, teaches are evaluated two times each year. Beginning in year three, teachers are evaluated only once each year.</w:t>
      </w:r>
    </w:p>
    <w:p w14:paraId="6416E779" w14:textId="77777777" w:rsidR="00364D3E" w:rsidRDefault="00364D3E" w:rsidP="000037D7">
      <w:pPr>
        <w:spacing w:line="240" w:lineRule="auto"/>
        <w:contextualSpacing/>
        <w:rPr>
          <w:b/>
          <w:sz w:val="24"/>
          <w:szCs w:val="24"/>
        </w:rPr>
      </w:pPr>
    </w:p>
    <w:p w14:paraId="5DBAF1E2" w14:textId="77777777" w:rsidR="00364D3E" w:rsidRDefault="00364D3E" w:rsidP="000037D7">
      <w:pPr>
        <w:spacing w:line="240" w:lineRule="auto"/>
        <w:contextualSpacing/>
        <w:rPr>
          <w:b/>
          <w:sz w:val="24"/>
          <w:szCs w:val="24"/>
        </w:rPr>
      </w:pPr>
    </w:p>
    <w:p w14:paraId="67DE5EA4" w14:textId="7508C6F0" w:rsidR="000037D7" w:rsidRPr="005D007E" w:rsidRDefault="006D060B" w:rsidP="000037D7">
      <w:pPr>
        <w:spacing w:line="240" w:lineRule="auto"/>
        <w:contextualSpacing/>
        <w:rPr>
          <w:b/>
          <w:sz w:val="24"/>
          <w:szCs w:val="24"/>
        </w:rPr>
      </w:pPr>
      <w:r>
        <w:rPr>
          <w:b/>
          <w:sz w:val="24"/>
          <w:szCs w:val="24"/>
        </w:rPr>
        <w:lastRenderedPageBreak/>
        <w:t xml:space="preserve">Table 1 </w:t>
      </w:r>
      <w:r w:rsidR="000037D7" w:rsidRPr="005D007E">
        <w:rPr>
          <w:b/>
          <w:sz w:val="24"/>
          <w:szCs w:val="24"/>
        </w:rPr>
        <w:t xml:space="preserve">Mean </w:t>
      </w:r>
      <w:proofErr w:type="spellStart"/>
      <w:r w:rsidR="000037D7" w:rsidRPr="005D007E">
        <w:rPr>
          <w:b/>
          <w:sz w:val="24"/>
          <w:szCs w:val="24"/>
        </w:rPr>
        <w:t>McRel</w:t>
      </w:r>
      <w:proofErr w:type="spellEnd"/>
      <w:r w:rsidR="000037D7" w:rsidRPr="005D007E">
        <w:rPr>
          <w:b/>
          <w:sz w:val="24"/>
          <w:szCs w:val="24"/>
        </w:rPr>
        <w:t xml:space="preserve"> Rating Scores</w:t>
      </w:r>
      <w:r w:rsidR="000037D7">
        <w:rPr>
          <w:b/>
          <w:sz w:val="24"/>
          <w:szCs w:val="24"/>
        </w:rPr>
        <w:t>—EPP Completer Comparisons</w:t>
      </w:r>
      <w:r w:rsidR="002E663A">
        <w:rPr>
          <w:b/>
          <w:sz w:val="24"/>
          <w:szCs w:val="24"/>
        </w:rPr>
        <w:t xml:space="preserve"> (N=number of evaluations)</w:t>
      </w:r>
      <w:r w:rsidR="000037D7" w:rsidRPr="005D007E">
        <w:rPr>
          <w:b/>
          <w:sz w:val="24"/>
          <w:szCs w:val="24"/>
        </w:rPr>
        <w:t xml:space="preserve"> </w:t>
      </w:r>
    </w:p>
    <w:tbl>
      <w:tblPr>
        <w:tblStyle w:val="TableGrid"/>
        <w:tblW w:w="0" w:type="auto"/>
        <w:jc w:val="center"/>
        <w:tblLook w:val="04A0" w:firstRow="1" w:lastRow="0" w:firstColumn="1" w:lastColumn="0" w:noHBand="0" w:noVBand="1"/>
      </w:tblPr>
      <w:tblGrid>
        <w:gridCol w:w="1975"/>
        <w:gridCol w:w="6"/>
        <w:gridCol w:w="1339"/>
        <w:gridCol w:w="1344"/>
        <w:gridCol w:w="1344"/>
        <w:gridCol w:w="993"/>
        <w:gridCol w:w="1344"/>
        <w:gridCol w:w="1320"/>
        <w:gridCol w:w="992"/>
        <w:gridCol w:w="1324"/>
        <w:gridCol w:w="969"/>
      </w:tblGrid>
      <w:tr w:rsidR="00C97451" w14:paraId="0254C0B8" w14:textId="77777777" w:rsidTr="00492211">
        <w:trPr>
          <w:cantSplit/>
          <w:trHeight w:val="3158"/>
          <w:jc w:val="center"/>
        </w:trPr>
        <w:tc>
          <w:tcPr>
            <w:tcW w:w="1975" w:type="dxa"/>
            <w:shd w:val="clear" w:color="auto" w:fill="BFBFBF" w:themeFill="background1" w:themeFillShade="BF"/>
            <w:textDirection w:val="btLr"/>
          </w:tcPr>
          <w:p w14:paraId="58E196DD" w14:textId="77777777" w:rsidR="00C97451" w:rsidRPr="009A2D96" w:rsidRDefault="00C97451" w:rsidP="003F0B22">
            <w:pPr>
              <w:ind w:left="113" w:right="113"/>
              <w:contextualSpacing/>
              <w:rPr>
                <w:b/>
              </w:rPr>
            </w:pPr>
            <w:r w:rsidRPr="009A2D96">
              <w:rPr>
                <w:b/>
              </w:rPr>
              <w:t>Standard</w:t>
            </w:r>
            <w:r>
              <w:rPr>
                <w:b/>
              </w:rPr>
              <w:t>/</w:t>
            </w:r>
            <w:r w:rsidR="00812041">
              <w:rPr>
                <w:b/>
              </w:rPr>
              <w:t>Element</w:t>
            </w:r>
          </w:p>
        </w:tc>
        <w:tc>
          <w:tcPr>
            <w:tcW w:w="1345" w:type="dxa"/>
            <w:gridSpan w:val="2"/>
            <w:shd w:val="clear" w:color="auto" w:fill="BFBFBF" w:themeFill="background1" w:themeFillShade="BF"/>
            <w:textDirection w:val="btLr"/>
          </w:tcPr>
          <w:p w14:paraId="61657B98" w14:textId="77777777" w:rsidR="00C97451" w:rsidRDefault="00C97451" w:rsidP="003F0B22">
            <w:pPr>
              <w:ind w:left="113" w:right="113"/>
              <w:contextualSpacing/>
              <w:rPr>
                <w:b/>
              </w:rPr>
            </w:pPr>
            <w:r w:rsidRPr="009A2D96">
              <w:rPr>
                <w:b/>
              </w:rPr>
              <w:t>201</w:t>
            </w:r>
            <w:r>
              <w:rPr>
                <w:b/>
              </w:rPr>
              <w:t>6</w:t>
            </w:r>
            <w:r w:rsidRPr="009A2D96">
              <w:rPr>
                <w:b/>
              </w:rPr>
              <w:t xml:space="preserve"> ESU Completers</w:t>
            </w:r>
          </w:p>
          <w:p w14:paraId="0D4351DC" w14:textId="77777777" w:rsidR="00C97451" w:rsidRDefault="00C97451" w:rsidP="003F0B22">
            <w:pPr>
              <w:ind w:left="113" w:right="113"/>
              <w:contextualSpacing/>
              <w:rPr>
                <w:b/>
              </w:rPr>
            </w:pPr>
            <w:r>
              <w:rPr>
                <w:b/>
              </w:rPr>
              <w:t xml:space="preserve">2016-2017 </w:t>
            </w:r>
            <w:proofErr w:type="spellStart"/>
            <w:r>
              <w:rPr>
                <w:b/>
              </w:rPr>
              <w:t>Eval</w:t>
            </w:r>
            <w:proofErr w:type="spellEnd"/>
          </w:p>
          <w:p w14:paraId="6AA81E04" w14:textId="77777777" w:rsidR="00C97451" w:rsidRPr="009A2D96" w:rsidRDefault="00C97451" w:rsidP="003F0B22">
            <w:pPr>
              <w:ind w:left="113" w:right="113"/>
              <w:contextualSpacing/>
              <w:rPr>
                <w:b/>
              </w:rPr>
            </w:pPr>
            <w:r>
              <w:rPr>
                <w:b/>
              </w:rPr>
              <w:t>(N=</w:t>
            </w:r>
            <w:r w:rsidR="00023670">
              <w:rPr>
                <w:b/>
              </w:rPr>
              <w:t>43</w:t>
            </w:r>
            <w:r>
              <w:rPr>
                <w:b/>
              </w:rPr>
              <w:t>)</w:t>
            </w:r>
          </w:p>
        </w:tc>
        <w:tc>
          <w:tcPr>
            <w:tcW w:w="1344" w:type="dxa"/>
            <w:shd w:val="clear" w:color="auto" w:fill="BFBFBF" w:themeFill="background1" w:themeFillShade="BF"/>
            <w:textDirection w:val="btLr"/>
          </w:tcPr>
          <w:p w14:paraId="4E946907" w14:textId="77777777" w:rsidR="00C97451" w:rsidRDefault="00C97451" w:rsidP="003F0B22">
            <w:pPr>
              <w:ind w:left="113" w:right="113"/>
              <w:contextualSpacing/>
              <w:rPr>
                <w:b/>
              </w:rPr>
            </w:pPr>
            <w:r w:rsidRPr="009A2D96">
              <w:rPr>
                <w:b/>
              </w:rPr>
              <w:t>201</w:t>
            </w:r>
            <w:r>
              <w:rPr>
                <w:b/>
              </w:rPr>
              <w:t>5</w:t>
            </w:r>
            <w:r w:rsidRPr="009A2D96">
              <w:rPr>
                <w:b/>
              </w:rPr>
              <w:t xml:space="preserve"> ESU Completers</w:t>
            </w:r>
          </w:p>
          <w:p w14:paraId="2E8E08C3" w14:textId="77777777" w:rsidR="00C97451" w:rsidRDefault="00C97451" w:rsidP="003F0B22">
            <w:pPr>
              <w:ind w:left="113" w:right="113"/>
              <w:contextualSpacing/>
              <w:rPr>
                <w:b/>
              </w:rPr>
            </w:pPr>
            <w:r>
              <w:rPr>
                <w:b/>
              </w:rPr>
              <w:t xml:space="preserve">2015-2016 </w:t>
            </w:r>
            <w:proofErr w:type="spellStart"/>
            <w:r>
              <w:rPr>
                <w:b/>
              </w:rPr>
              <w:t>Eval</w:t>
            </w:r>
            <w:proofErr w:type="spellEnd"/>
          </w:p>
          <w:p w14:paraId="19F2E4CD" w14:textId="77777777" w:rsidR="00C97451" w:rsidRPr="009A2D96" w:rsidRDefault="00C97451" w:rsidP="003F0B22">
            <w:pPr>
              <w:ind w:left="113" w:right="113"/>
              <w:contextualSpacing/>
              <w:rPr>
                <w:b/>
              </w:rPr>
            </w:pPr>
            <w:r>
              <w:rPr>
                <w:b/>
              </w:rPr>
              <w:t>(N=42)</w:t>
            </w:r>
          </w:p>
        </w:tc>
        <w:tc>
          <w:tcPr>
            <w:tcW w:w="1344" w:type="dxa"/>
            <w:shd w:val="clear" w:color="auto" w:fill="BFBFBF" w:themeFill="background1" w:themeFillShade="BF"/>
            <w:textDirection w:val="btLr"/>
          </w:tcPr>
          <w:p w14:paraId="16405CA6" w14:textId="77777777" w:rsidR="00C97451" w:rsidRDefault="00C97451" w:rsidP="003F0B22">
            <w:pPr>
              <w:ind w:left="113" w:right="113"/>
              <w:contextualSpacing/>
              <w:rPr>
                <w:b/>
              </w:rPr>
            </w:pPr>
            <w:r w:rsidRPr="009A2D96">
              <w:rPr>
                <w:b/>
              </w:rPr>
              <w:t>201</w:t>
            </w:r>
            <w:r>
              <w:rPr>
                <w:b/>
              </w:rPr>
              <w:t>5</w:t>
            </w:r>
            <w:r w:rsidRPr="009A2D96">
              <w:rPr>
                <w:b/>
              </w:rPr>
              <w:t xml:space="preserve"> ESU Completers</w:t>
            </w:r>
          </w:p>
          <w:p w14:paraId="3E2F0D6B" w14:textId="77777777" w:rsidR="00C97451" w:rsidRDefault="00C97451" w:rsidP="003F0B22">
            <w:pPr>
              <w:ind w:left="113" w:right="113"/>
              <w:contextualSpacing/>
              <w:rPr>
                <w:b/>
              </w:rPr>
            </w:pPr>
            <w:r>
              <w:rPr>
                <w:b/>
              </w:rPr>
              <w:t xml:space="preserve">2016-2017 </w:t>
            </w:r>
            <w:proofErr w:type="spellStart"/>
            <w:r>
              <w:rPr>
                <w:b/>
              </w:rPr>
              <w:t>Eval</w:t>
            </w:r>
            <w:proofErr w:type="spellEnd"/>
          </w:p>
          <w:p w14:paraId="2E2295CB" w14:textId="77777777" w:rsidR="00C97451" w:rsidRPr="009A2D96" w:rsidRDefault="00C97451" w:rsidP="003F0B22">
            <w:pPr>
              <w:ind w:left="113" w:right="113"/>
              <w:contextualSpacing/>
              <w:rPr>
                <w:b/>
              </w:rPr>
            </w:pPr>
            <w:r>
              <w:rPr>
                <w:b/>
              </w:rPr>
              <w:t>(N=</w:t>
            </w:r>
            <w:r w:rsidR="00AC60DC">
              <w:rPr>
                <w:b/>
              </w:rPr>
              <w:t>32</w:t>
            </w:r>
            <w:r>
              <w:rPr>
                <w:b/>
              </w:rPr>
              <w:t>)</w:t>
            </w:r>
          </w:p>
        </w:tc>
        <w:tc>
          <w:tcPr>
            <w:tcW w:w="993" w:type="dxa"/>
            <w:shd w:val="clear" w:color="auto" w:fill="D9D9D9" w:themeFill="background1" w:themeFillShade="D9"/>
            <w:textDirection w:val="btLr"/>
          </w:tcPr>
          <w:p w14:paraId="7FD95101" w14:textId="77777777" w:rsidR="00023670" w:rsidRDefault="00023670" w:rsidP="003F0B22">
            <w:pPr>
              <w:ind w:left="113" w:right="113"/>
              <w:contextualSpacing/>
              <w:rPr>
                <w:b/>
                <w:sz w:val="16"/>
                <w:szCs w:val="16"/>
              </w:rPr>
            </w:pPr>
            <w:r>
              <w:rPr>
                <w:b/>
                <w:sz w:val="16"/>
                <w:szCs w:val="16"/>
              </w:rPr>
              <w:t>2015</w:t>
            </w:r>
          </w:p>
          <w:p w14:paraId="4F057F69" w14:textId="77777777" w:rsidR="00C97451" w:rsidRPr="003F0B22" w:rsidRDefault="00023670" w:rsidP="003F0B22">
            <w:pPr>
              <w:ind w:left="113" w:right="113"/>
              <w:contextualSpacing/>
              <w:rPr>
                <w:b/>
              </w:rPr>
            </w:pPr>
            <w:r w:rsidRPr="003F0B22">
              <w:rPr>
                <w:b/>
              </w:rPr>
              <w:t>Completer Growth from 15-16 to 16-17</w:t>
            </w:r>
          </w:p>
        </w:tc>
        <w:tc>
          <w:tcPr>
            <w:tcW w:w="1344" w:type="dxa"/>
            <w:shd w:val="clear" w:color="auto" w:fill="BFBFBF" w:themeFill="background1" w:themeFillShade="BF"/>
            <w:textDirection w:val="btLr"/>
          </w:tcPr>
          <w:p w14:paraId="20F5B64A" w14:textId="77777777" w:rsidR="00C97451" w:rsidRDefault="00C97451" w:rsidP="003F0B22">
            <w:pPr>
              <w:ind w:left="113" w:right="113"/>
              <w:contextualSpacing/>
              <w:rPr>
                <w:b/>
              </w:rPr>
            </w:pPr>
            <w:r w:rsidRPr="009A2D96">
              <w:rPr>
                <w:b/>
              </w:rPr>
              <w:t>2014 ESU Completers</w:t>
            </w:r>
          </w:p>
          <w:p w14:paraId="0D5EF1E1" w14:textId="77777777" w:rsidR="00C97451" w:rsidRDefault="00C97451" w:rsidP="003F0B22">
            <w:pPr>
              <w:ind w:left="113" w:right="113"/>
              <w:contextualSpacing/>
              <w:rPr>
                <w:b/>
              </w:rPr>
            </w:pPr>
            <w:r>
              <w:rPr>
                <w:b/>
              </w:rPr>
              <w:t xml:space="preserve">2014-2015 </w:t>
            </w:r>
            <w:proofErr w:type="spellStart"/>
            <w:r>
              <w:rPr>
                <w:b/>
              </w:rPr>
              <w:t>Eval</w:t>
            </w:r>
            <w:proofErr w:type="spellEnd"/>
          </w:p>
          <w:p w14:paraId="0E71F2AC" w14:textId="77777777" w:rsidR="00C97451" w:rsidRPr="009A2D96" w:rsidRDefault="00C97451" w:rsidP="003F0B22">
            <w:pPr>
              <w:ind w:left="113" w:right="113"/>
              <w:contextualSpacing/>
              <w:rPr>
                <w:b/>
              </w:rPr>
            </w:pPr>
            <w:r>
              <w:rPr>
                <w:b/>
              </w:rPr>
              <w:t>(N=34)</w:t>
            </w:r>
          </w:p>
        </w:tc>
        <w:tc>
          <w:tcPr>
            <w:tcW w:w="1320" w:type="dxa"/>
            <w:shd w:val="clear" w:color="auto" w:fill="BFBFBF" w:themeFill="background1" w:themeFillShade="BF"/>
            <w:textDirection w:val="btLr"/>
          </w:tcPr>
          <w:p w14:paraId="44777139" w14:textId="77777777" w:rsidR="00C97451" w:rsidRDefault="00C97451" w:rsidP="003F0B22">
            <w:pPr>
              <w:ind w:left="113" w:right="113"/>
              <w:contextualSpacing/>
              <w:rPr>
                <w:b/>
              </w:rPr>
            </w:pPr>
            <w:r w:rsidRPr="009A2D96">
              <w:rPr>
                <w:b/>
              </w:rPr>
              <w:t>2014 ESU Completers</w:t>
            </w:r>
          </w:p>
          <w:p w14:paraId="353F6F26" w14:textId="77777777" w:rsidR="00C97451" w:rsidRDefault="00C97451" w:rsidP="003F0B22">
            <w:pPr>
              <w:ind w:left="113" w:right="113"/>
              <w:contextualSpacing/>
              <w:rPr>
                <w:b/>
              </w:rPr>
            </w:pPr>
            <w:r>
              <w:rPr>
                <w:b/>
              </w:rPr>
              <w:t xml:space="preserve">2015-2016 </w:t>
            </w:r>
            <w:proofErr w:type="spellStart"/>
            <w:r>
              <w:rPr>
                <w:b/>
              </w:rPr>
              <w:t>Eval</w:t>
            </w:r>
            <w:proofErr w:type="spellEnd"/>
          </w:p>
          <w:p w14:paraId="5D97DDAB" w14:textId="77777777" w:rsidR="00C97451" w:rsidRPr="009A2D96" w:rsidRDefault="00C97451" w:rsidP="003F0B22">
            <w:pPr>
              <w:ind w:left="113" w:right="113"/>
              <w:contextualSpacing/>
              <w:rPr>
                <w:b/>
              </w:rPr>
            </w:pPr>
            <w:r>
              <w:rPr>
                <w:b/>
              </w:rPr>
              <w:t>(N=31)</w:t>
            </w:r>
          </w:p>
        </w:tc>
        <w:tc>
          <w:tcPr>
            <w:tcW w:w="992" w:type="dxa"/>
            <w:shd w:val="clear" w:color="auto" w:fill="D9D9D9" w:themeFill="background1" w:themeFillShade="D9"/>
            <w:textDirection w:val="btLr"/>
          </w:tcPr>
          <w:p w14:paraId="261FD34C" w14:textId="77777777" w:rsidR="00C97451" w:rsidRPr="003F0B22" w:rsidRDefault="009A3AA6" w:rsidP="003F0B22">
            <w:pPr>
              <w:ind w:left="113" w:right="113"/>
              <w:contextualSpacing/>
              <w:rPr>
                <w:b/>
              </w:rPr>
            </w:pPr>
            <w:r w:rsidRPr="003F0B22">
              <w:rPr>
                <w:b/>
              </w:rPr>
              <w:t>2014 Completer Growth from 14-15 to 15-16</w:t>
            </w:r>
          </w:p>
        </w:tc>
        <w:tc>
          <w:tcPr>
            <w:tcW w:w="1324" w:type="dxa"/>
            <w:shd w:val="clear" w:color="auto" w:fill="BFBFBF" w:themeFill="background1" w:themeFillShade="BF"/>
            <w:textDirection w:val="btLr"/>
          </w:tcPr>
          <w:p w14:paraId="2DF9CCD9" w14:textId="77777777" w:rsidR="00C97451" w:rsidRDefault="00C97451" w:rsidP="003F0B22">
            <w:pPr>
              <w:ind w:left="113" w:right="113"/>
              <w:contextualSpacing/>
              <w:rPr>
                <w:b/>
              </w:rPr>
            </w:pPr>
            <w:r w:rsidRPr="009A2D96">
              <w:rPr>
                <w:b/>
              </w:rPr>
              <w:t>2014 ESU Completers</w:t>
            </w:r>
          </w:p>
          <w:p w14:paraId="63346A2F" w14:textId="77777777" w:rsidR="00C97451" w:rsidRDefault="00C97451" w:rsidP="003F0B22">
            <w:pPr>
              <w:ind w:left="113" w:right="113"/>
              <w:contextualSpacing/>
              <w:rPr>
                <w:b/>
              </w:rPr>
            </w:pPr>
            <w:r>
              <w:rPr>
                <w:b/>
              </w:rPr>
              <w:t xml:space="preserve">2016-2017 </w:t>
            </w:r>
            <w:proofErr w:type="spellStart"/>
            <w:r>
              <w:rPr>
                <w:b/>
              </w:rPr>
              <w:t>Eval</w:t>
            </w:r>
            <w:proofErr w:type="spellEnd"/>
          </w:p>
          <w:p w14:paraId="6CDA869B" w14:textId="77777777" w:rsidR="00C97451" w:rsidRDefault="00C97451" w:rsidP="003F0B22">
            <w:pPr>
              <w:ind w:left="113" w:right="113"/>
              <w:contextualSpacing/>
              <w:rPr>
                <w:b/>
              </w:rPr>
            </w:pPr>
            <w:r>
              <w:rPr>
                <w:b/>
              </w:rPr>
              <w:t>(N=</w:t>
            </w:r>
            <w:r w:rsidR="003D686E">
              <w:rPr>
                <w:b/>
              </w:rPr>
              <w:t>13</w:t>
            </w:r>
            <w:r>
              <w:rPr>
                <w:b/>
              </w:rPr>
              <w:t>)</w:t>
            </w:r>
          </w:p>
          <w:p w14:paraId="166AD9FA" w14:textId="77777777" w:rsidR="003F0B22" w:rsidRPr="009A2D96" w:rsidRDefault="003F0B22" w:rsidP="003F0B22">
            <w:pPr>
              <w:ind w:left="113" w:right="113"/>
              <w:contextualSpacing/>
              <w:rPr>
                <w:b/>
              </w:rPr>
            </w:pPr>
            <w:r>
              <w:rPr>
                <w:b/>
              </w:rPr>
              <w:t>3</w:t>
            </w:r>
            <w:r w:rsidRPr="003F0B22">
              <w:rPr>
                <w:b/>
                <w:vertAlign w:val="superscript"/>
              </w:rPr>
              <w:t>rd</w:t>
            </w:r>
            <w:r>
              <w:rPr>
                <w:b/>
              </w:rPr>
              <w:t xml:space="preserve"> year; only one evaluation</w:t>
            </w:r>
          </w:p>
        </w:tc>
        <w:tc>
          <w:tcPr>
            <w:tcW w:w="969" w:type="dxa"/>
            <w:shd w:val="clear" w:color="auto" w:fill="D9D9D9" w:themeFill="background1" w:themeFillShade="D9"/>
            <w:textDirection w:val="btLr"/>
          </w:tcPr>
          <w:p w14:paraId="1C39146E" w14:textId="77777777" w:rsidR="003F0B22" w:rsidRDefault="003F0B22" w:rsidP="003F0B22">
            <w:pPr>
              <w:ind w:left="113" w:right="113"/>
              <w:contextualSpacing/>
              <w:rPr>
                <w:b/>
              </w:rPr>
            </w:pPr>
            <w:r w:rsidRPr="003F0B22">
              <w:rPr>
                <w:b/>
              </w:rPr>
              <w:t>2014 Completer Growth from 15-16 to 16-17</w:t>
            </w:r>
            <w:r>
              <w:rPr>
                <w:b/>
              </w:rPr>
              <w:t xml:space="preserve"> and </w:t>
            </w:r>
          </w:p>
          <w:p w14:paraId="54D173CF" w14:textId="77777777" w:rsidR="00C97451" w:rsidRPr="003F0B22" w:rsidRDefault="003F0B22" w:rsidP="003F0B22">
            <w:pPr>
              <w:ind w:left="113" w:right="113"/>
              <w:contextualSpacing/>
              <w:rPr>
                <w:b/>
              </w:rPr>
            </w:pPr>
            <w:r>
              <w:rPr>
                <w:b/>
              </w:rPr>
              <w:t>14-15 to 16-17</w:t>
            </w:r>
          </w:p>
        </w:tc>
      </w:tr>
      <w:tr w:rsidR="00C97451" w14:paraId="16418DCF" w14:textId="77777777" w:rsidTr="00C31DD1">
        <w:trPr>
          <w:jc w:val="center"/>
        </w:trPr>
        <w:tc>
          <w:tcPr>
            <w:tcW w:w="12950" w:type="dxa"/>
            <w:gridSpan w:val="11"/>
            <w:shd w:val="clear" w:color="auto" w:fill="A6A6A6" w:themeFill="background1" w:themeFillShade="A6"/>
          </w:tcPr>
          <w:p w14:paraId="0871F145" w14:textId="77777777" w:rsidR="00C97451" w:rsidRPr="009A2D96" w:rsidRDefault="00C97451" w:rsidP="00C31DD1">
            <w:pPr>
              <w:contextualSpacing/>
              <w:rPr>
                <w:b/>
              </w:rPr>
            </w:pPr>
            <w:r>
              <w:rPr>
                <w:b/>
              </w:rPr>
              <w:t xml:space="preserve">Standard 1: </w:t>
            </w:r>
            <w:r w:rsidRPr="009A2D96">
              <w:rPr>
                <w:b/>
              </w:rPr>
              <w:t>Teachers Demonstrate Leadership</w:t>
            </w:r>
          </w:p>
        </w:tc>
      </w:tr>
      <w:tr w:rsidR="00C97451" w14:paraId="3EDC93DE" w14:textId="77777777" w:rsidTr="0088745D">
        <w:trPr>
          <w:jc w:val="center"/>
        </w:trPr>
        <w:tc>
          <w:tcPr>
            <w:tcW w:w="1975" w:type="dxa"/>
            <w:shd w:val="clear" w:color="auto" w:fill="auto"/>
          </w:tcPr>
          <w:p w14:paraId="6BE9E8F9" w14:textId="77777777" w:rsidR="00C97451" w:rsidRPr="009A2D96" w:rsidRDefault="00C97451" w:rsidP="00A06364">
            <w:pPr>
              <w:contextualSpacing/>
            </w:pPr>
            <w:r w:rsidRPr="009A2D96">
              <w:t>A. Teachers lead in their classroom.</w:t>
            </w:r>
          </w:p>
        </w:tc>
        <w:tc>
          <w:tcPr>
            <w:tcW w:w="1345" w:type="dxa"/>
            <w:gridSpan w:val="2"/>
            <w:shd w:val="clear" w:color="auto" w:fill="auto"/>
          </w:tcPr>
          <w:p w14:paraId="079B7E8D" w14:textId="77777777" w:rsidR="00C97451" w:rsidRPr="00A45238" w:rsidRDefault="00023670" w:rsidP="00A06364">
            <w:pPr>
              <w:contextualSpacing/>
              <w:jc w:val="center"/>
            </w:pPr>
            <w:r>
              <w:t>1.95</w:t>
            </w:r>
          </w:p>
        </w:tc>
        <w:tc>
          <w:tcPr>
            <w:tcW w:w="1344" w:type="dxa"/>
            <w:shd w:val="clear" w:color="auto" w:fill="auto"/>
          </w:tcPr>
          <w:p w14:paraId="73529A3F" w14:textId="77777777" w:rsidR="00C97451" w:rsidRPr="00A45238" w:rsidRDefault="00C97451" w:rsidP="00A06364">
            <w:pPr>
              <w:contextualSpacing/>
              <w:jc w:val="center"/>
            </w:pPr>
            <w:r>
              <w:t>2.12</w:t>
            </w:r>
          </w:p>
        </w:tc>
        <w:tc>
          <w:tcPr>
            <w:tcW w:w="1344" w:type="dxa"/>
            <w:shd w:val="clear" w:color="auto" w:fill="auto"/>
          </w:tcPr>
          <w:p w14:paraId="42F4577A" w14:textId="77777777" w:rsidR="00C97451" w:rsidRPr="00A45238" w:rsidRDefault="00023670" w:rsidP="00A06364">
            <w:pPr>
              <w:contextualSpacing/>
              <w:jc w:val="center"/>
            </w:pPr>
            <w:r>
              <w:t>2.56</w:t>
            </w:r>
          </w:p>
        </w:tc>
        <w:tc>
          <w:tcPr>
            <w:tcW w:w="993" w:type="dxa"/>
            <w:shd w:val="clear" w:color="auto" w:fill="D9D9D9" w:themeFill="background1" w:themeFillShade="D9"/>
          </w:tcPr>
          <w:p w14:paraId="32CCAF13" w14:textId="77777777" w:rsidR="00C97451" w:rsidRDefault="005E268C" w:rsidP="00A06364">
            <w:pPr>
              <w:contextualSpacing/>
              <w:jc w:val="center"/>
            </w:pPr>
            <w:r>
              <w:t>0.44</w:t>
            </w:r>
          </w:p>
        </w:tc>
        <w:tc>
          <w:tcPr>
            <w:tcW w:w="1344" w:type="dxa"/>
            <w:shd w:val="clear" w:color="auto" w:fill="auto"/>
          </w:tcPr>
          <w:p w14:paraId="716537E0" w14:textId="77777777" w:rsidR="00C97451" w:rsidRPr="00A45238" w:rsidRDefault="00C97451" w:rsidP="00A06364">
            <w:pPr>
              <w:contextualSpacing/>
              <w:jc w:val="center"/>
            </w:pPr>
            <w:r>
              <w:t>1.88</w:t>
            </w:r>
          </w:p>
        </w:tc>
        <w:tc>
          <w:tcPr>
            <w:tcW w:w="1320" w:type="dxa"/>
            <w:shd w:val="clear" w:color="auto" w:fill="auto"/>
          </w:tcPr>
          <w:p w14:paraId="531D939F" w14:textId="77777777" w:rsidR="00C97451" w:rsidRPr="00A45238" w:rsidRDefault="00C97451" w:rsidP="00A06364">
            <w:pPr>
              <w:contextualSpacing/>
              <w:jc w:val="center"/>
            </w:pPr>
            <w:r>
              <w:t>2.52</w:t>
            </w:r>
          </w:p>
        </w:tc>
        <w:tc>
          <w:tcPr>
            <w:tcW w:w="992" w:type="dxa"/>
            <w:shd w:val="clear" w:color="auto" w:fill="D9D9D9" w:themeFill="background1" w:themeFillShade="D9"/>
          </w:tcPr>
          <w:p w14:paraId="30B50F5B" w14:textId="77777777" w:rsidR="00C97451" w:rsidRPr="00A45238" w:rsidRDefault="009A3AA6" w:rsidP="00A06364">
            <w:pPr>
              <w:contextualSpacing/>
              <w:jc w:val="center"/>
            </w:pPr>
            <w:r>
              <w:t>0.64</w:t>
            </w:r>
          </w:p>
        </w:tc>
        <w:tc>
          <w:tcPr>
            <w:tcW w:w="1324" w:type="dxa"/>
            <w:shd w:val="clear" w:color="auto" w:fill="auto"/>
          </w:tcPr>
          <w:p w14:paraId="2D1AF2AC" w14:textId="77777777" w:rsidR="00C97451" w:rsidRDefault="003D686E" w:rsidP="00A06364">
            <w:pPr>
              <w:contextualSpacing/>
              <w:jc w:val="center"/>
            </w:pPr>
            <w:r>
              <w:t>2.46</w:t>
            </w:r>
          </w:p>
          <w:p w14:paraId="7DDC7770" w14:textId="77777777" w:rsidR="003D686E" w:rsidRPr="00A45238" w:rsidRDefault="003D686E" w:rsidP="00A06364">
            <w:pPr>
              <w:contextualSpacing/>
              <w:jc w:val="center"/>
            </w:pPr>
          </w:p>
        </w:tc>
        <w:tc>
          <w:tcPr>
            <w:tcW w:w="969" w:type="dxa"/>
            <w:shd w:val="clear" w:color="auto" w:fill="D9D9D9" w:themeFill="background1" w:themeFillShade="D9"/>
          </w:tcPr>
          <w:p w14:paraId="0DDF046B" w14:textId="77777777" w:rsidR="00492211" w:rsidRDefault="00492211" w:rsidP="00A06364">
            <w:pPr>
              <w:contextualSpacing/>
              <w:jc w:val="center"/>
            </w:pPr>
            <w:r>
              <w:t>-0.06/</w:t>
            </w:r>
          </w:p>
          <w:p w14:paraId="3FB932BF" w14:textId="77777777" w:rsidR="00C97451" w:rsidRPr="00A45238" w:rsidRDefault="00492211" w:rsidP="00A06364">
            <w:pPr>
              <w:contextualSpacing/>
              <w:jc w:val="center"/>
            </w:pPr>
            <w:r>
              <w:t>0.58</w:t>
            </w:r>
          </w:p>
        </w:tc>
      </w:tr>
      <w:tr w:rsidR="00C97451" w14:paraId="63BD1D72" w14:textId="77777777" w:rsidTr="0088745D">
        <w:trPr>
          <w:jc w:val="center"/>
        </w:trPr>
        <w:tc>
          <w:tcPr>
            <w:tcW w:w="1975" w:type="dxa"/>
            <w:shd w:val="clear" w:color="auto" w:fill="auto"/>
          </w:tcPr>
          <w:p w14:paraId="2F217441" w14:textId="77777777" w:rsidR="00C97451" w:rsidRPr="00A96E76" w:rsidRDefault="00C97451" w:rsidP="00A06364">
            <w:pPr>
              <w:contextualSpacing/>
            </w:pPr>
            <w:r w:rsidRPr="00A96E76">
              <w:t>B. Teachers demonstrate leadership in the school.</w:t>
            </w:r>
          </w:p>
        </w:tc>
        <w:tc>
          <w:tcPr>
            <w:tcW w:w="1345" w:type="dxa"/>
            <w:gridSpan w:val="2"/>
            <w:shd w:val="clear" w:color="auto" w:fill="auto"/>
          </w:tcPr>
          <w:p w14:paraId="3175BBD4" w14:textId="77777777" w:rsidR="00C97451" w:rsidRPr="00A45238" w:rsidRDefault="00023670" w:rsidP="00A06364">
            <w:pPr>
              <w:contextualSpacing/>
              <w:jc w:val="center"/>
            </w:pPr>
            <w:r>
              <w:t>1.93</w:t>
            </w:r>
          </w:p>
        </w:tc>
        <w:tc>
          <w:tcPr>
            <w:tcW w:w="1344" w:type="dxa"/>
            <w:shd w:val="clear" w:color="auto" w:fill="auto"/>
          </w:tcPr>
          <w:p w14:paraId="0CB3822B" w14:textId="77777777" w:rsidR="00C97451" w:rsidRPr="00A45238" w:rsidRDefault="00C97451" w:rsidP="00A06364">
            <w:pPr>
              <w:contextualSpacing/>
              <w:jc w:val="center"/>
            </w:pPr>
            <w:r>
              <w:t>2.00</w:t>
            </w:r>
          </w:p>
        </w:tc>
        <w:tc>
          <w:tcPr>
            <w:tcW w:w="1344" w:type="dxa"/>
            <w:shd w:val="clear" w:color="auto" w:fill="auto"/>
          </w:tcPr>
          <w:p w14:paraId="5D957067" w14:textId="77777777" w:rsidR="00C97451" w:rsidRPr="00A45238" w:rsidRDefault="00023670" w:rsidP="00A06364">
            <w:pPr>
              <w:contextualSpacing/>
              <w:jc w:val="center"/>
            </w:pPr>
            <w:r>
              <w:t>2.41</w:t>
            </w:r>
          </w:p>
        </w:tc>
        <w:tc>
          <w:tcPr>
            <w:tcW w:w="993" w:type="dxa"/>
            <w:shd w:val="clear" w:color="auto" w:fill="D9D9D9" w:themeFill="background1" w:themeFillShade="D9"/>
          </w:tcPr>
          <w:p w14:paraId="490615E1" w14:textId="77777777" w:rsidR="00C97451" w:rsidRDefault="005E268C" w:rsidP="00A06364">
            <w:pPr>
              <w:contextualSpacing/>
              <w:jc w:val="center"/>
            </w:pPr>
            <w:r>
              <w:t>0.41</w:t>
            </w:r>
          </w:p>
        </w:tc>
        <w:tc>
          <w:tcPr>
            <w:tcW w:w="1344" w:type="dxa"/>
            <w:shd w:val="clear" w:color="auto" w:fill="auto"/>
          </w:tcPr>
          <w:p w14:paraId="09823940" w14:textId="77777777" w:rsidR="00C97451" w:rsidRPr="00A45238" w:rsidRDefault="00C97451" w:rsidP="00A06364">
            <w:pPr>
              <w:contextualSpacing/>
              <w:jc w:val="center"/>
            </w:pPr>
            <w:r>
              <w:t>1.79</w:t>
            </w:r>
          </w:p>
        </w:tc>
        <w:tc>
          <w:tcPr>
            <w:tcW w:w="1320" w:type="dxa"/>
            <w:shd w:val="clear" w:color="auto" w:fill="auto"/>
          </w:tcPr>
          <w:p w14:paraId="63DAFDED" w14:textId="77777777" w:rsidR="00C97451" w:rsidRPr="00A45238" w:rsidRDefault="00C97451" w:rsidP="00A06364">
            <w:pPr>
              <w:contextualSpacing/>
              <w:jc w:val="center"/>
            </w:pPr>
            <w:r>
              <w:t>2.26</w:t>
            </w:r>
          </w:p>
        </w:tc>
        <w:tc>
          <w:tcPr>
            <w:tcW w:w="992" w:type="dxa"/>
            <w:shd w:val="clear" w:color="auto" w:fill="D9D9D9" w:themeFill="background1" w:themeFillShade="D9"/>
          </w:tcPr>
          <w:p w14:paraId="634C5758" w14:textId="77777777" w:rsidR="00C97451" w:rsidRPr="00A45238" w:rsidRDefault="009A3AA6" w:rsidP="00A06364">
            <w:pPr>
              <w:contextualSpacing/>
              <w:jc w:val="center"/>
            </w:pPr>
            <w:r>
              <w:t>0.47</w:t>
            </w:r>
          </w:p>
        </w:tc>
        <w:tc>
          <w:tcPr>
            <w:tcW w:w="1324" w:type="dxa"/>
            <w:shd w:val="clear" w:color="auto" w:fill="auto"/>
          </w:tcPr>
          <w:p w14:paraId="02BFBA8B" w14:textId="77777777" w:rsidR="00C97451" w:rsidRPr="00A45238" w:rsidRDefault="003D686E" w:rsidP="00A06364">
            <w:pPr>
              <w:contextualSpacing/>
              <w:jc w:val="center"/>
            </w:pPr>
            <w:r>
              <w:t>2.31</w:t>
            </w:r>
          </w:p>
        </w:tc>
        <w:tc>
          <w:tcPr>
            <w:tcW w:w="969" w:type="dxa"/>
            <w:shd w:val="clear" w:color="auto" w:fill="D9D9D9" w:themeFill="background1" w:themeFillShade="D9"/>
          </w:tcPr>
          <w:p w14:paraId="1064055F" w14:textId="77777777" w:rsidR="00C97451" w:rsidRDefault="00492211" w:rsidP="00A06364">
            <w:pPr>
              <w:contextualSpacing/>
              <w:jc w:val="center"/>
            </w:pPr>
            <w:r>
              <w:t>0.05/</w:t>
            </w:r>
          </w:p>
          <w:p w14:paraId="682EBAB2" w14:textId="77777777" w:rsidR="00492211" w:rsidRPr="00A45238" w:rsidRDefault="00492211" w:rsidP="00A06364">
            <w:pPr>
              <w:contextualSpacing/>
              <w:jc w:val="center"/>
            </w:pPr>
            <w:r>
              <w:t>0.52</w:t>
            </w:r>
          </w:p>
        </w:tc>
      </w:tr>
      <w:tr w:rsidR="00C97451" w14:paraId="46F61E4C" w14:textId="77777777" w:rsidTr="0088745D">
        <w:trPr>
          <w:jc w:val="center"/>
        </w:trPr>
        <w:tc>
          <w:tcPr>
            <w:tcW w:w="1975" w:type="dxa"/>
            <w:shd w:val="clear" w:color="auto" w:fill="auto"/>
          </w:tcPr>
          <w:p w14:paraId="691F95FF" w14:textId="77777777" w:rsidR="00C97451" w:rsidRPr="00A96E76" w:rsidRDefault="00C97451" w:rsidP="00A06364">
            <w:pPr>
              <w:contextualSpacing/>
            </w:pPr>
            <w:r w:rsidRPr="00A96E76">
              <w:t>C. Teachers lead the teaching profession.</w:t>
            </w:r>
          </w:p>
        </w:tc>
        <w:tc>
          <w:tcPr>
            <w:tcW w:w="1345" w:type="dxa"/>
            <w:gridSpan w:val="2"/>
            <w:shd w:val="clear" w:color="auto" w:fill="auto"/>
          </w:tcPr>
          <w:p w14:paraId="7BCA53F0" w14:textId="77777777" w:rsidR="00C97451" w:rsidRPr="00A45238" w:rsidRDefault="00023670" w:rsidP="00A06364">
            <w:pPr>
              <w:contextualSpacing/>
              <w:jc w:val="center"/>
            </w:pPr>
            <w:r>
              <w:t>2.16</w:t>
            </w:r>
          </w:p>
        </w:tc>
        <w:tc>
          <w:tcPr>
            <w:tcW w:w="1344" w:type="dxa"/>
            <w:shd w:val="clear" w:color="auto" w:fill="auto"/>
          </w:tcPr>
          <w:p w14:paraId="1C032B81" w14:textId="77777777" w:rsidR="00C97451" w:rsidRPr="00A45238" w:rsidRDefault="00C97451" w:rsidP="00A06364">
            <w:pPr>
              <w:contextualSpacing/>
              <w:jc w:val="center"/>
            </w:pPr>
            <w:r>
              <w:t>2.24</w:t>
            </w:r>
          </w:p>
        </w:tc>
        <w:tc>
          <w:tcPr>
            <w:tcW w:w="1344" w:type="dxa"/>
            <w:shd w:val="clear" w:color="auto" w:fill="auto"/>
          </w:tcPr>
          <w:p w14:paraId="40A8BD85" w14:textId="77777777" w:rsidR="00C97451" w:rsidRPr="00A45238" w:rsidRDefault="00023670" w:rsidP="00A06364">
            <w:pPr>
              <w:contextualSpacing/>
              <w:jc w:val="center"/>
            </w:pPr>
            <w:r>
              <w:t>2.66</w:t>
            </w:r>
          </w:p>
        </w:tc>
        <w:tc>
          <w:tcPr>
            <w:tcW w:w="993" w:type="dxa"/>
            <w:shd w:val="clear" w:color="auto" w:fill="D9D9D9" w:themeFill="background1" w:themeFillShade="D9"/>
          </w:tcPr>
          <w:p w14:paraId="247B6000" w14:textId="77777777" w:rsidR="00C97451" w:rsidRDefault="005E268C" w:rsidP="00A06364">
            <w:pPr>
              <w:contextualSpacing/>
              <w:jc w:val="center"/>
            </w:pPr>
            <w:r>
              <w:t>0.42</w:t>
            </w:r>
          </w:p>
        </w:tc>
        <w:tc>
          <w:tcPr>
            <w:tcW w:w="1344" w:type="dxa"/>
            <w:shd w:val="clear" w:color="auto" w:fill="auto"/>
          </w:tcPr>
          <w:p w14:paraId="2C1E9AD2" w14:textId="77777777" w:rsidR="00C97451" w:rsidRPr="00A45238" w:rsidRDefault="00C97451" w:rsidP="00A06364">
            <w:pPr>
              <w:contextualSpacing/>
              <w:jc w:val="center"/>
            </w:pPr>
            <w:r>
              <w:t>2.12</w:t>
            </w:r>
          </w:p>
        </w:tc>
        <w:tc>
          <w:tcPr>
            <w:tcW w:w="1320" w:type="dxa"/>
            <w:shd w:val="clear" w:color="auto" w:fill="auto"/>
          </w:tcPr>
          <w:p w14:paraId="2D263452" w14:textId="77777777" w:rsidR="00C97451" w:rsidRPr="00A45238" w:rsidRDefault="00C97451" w:rsidP="00A06364">
            <w:pPr>
              <w:contextualSpacing/>
              <w:jc w:val="center"/>
            </w:pPr>
            <w:r>
              <w:t>2.58</w:t>
            </w:r>
          </w:p>
        </w:tc>
        <w:tc>
          <w:tcPr>
            <w:tcW w:w="992" w:type="dxa"/>
            <w:shd w:val="clear" w:color="auto" w:fill="D9D9D9" w:themeFill="background1" w:themeFillShade="D9"/>
          </w:tcPr>
          <w:p w14:paraId="2DB1F2F3" w14:textId="77777777" w:rsidR="00C97451" w:rsidRPr="00A45238" w:rsidRDefault="009A3AA6" w:rsidP="00A06364">
            <w:pPr>
              <w:contextualSpacing/>
              <w:jc w:val="center"/>
            </w:pPr>
            <w:r>
              <w:t>0.45</w:t>
            </w:r>
          </w:p>
        </w:tc>
        <w:tc>
          <w:tcPr>
            <w:tcW w:w="1324" w:type="dxa"/>
            <w:shd w:val="clear" w:color="auto" w:fill="auto"/>
          </w:tcPr>
          <w:p w14:paraId="1EC220DB" w14:textId="77777777" w:rsidR="00C97451" w:rsidRPr="00A45238" w:rsidRDefault="003D686E" w:rsidP="00A06364">
            <w:pPr>
              <w:contextualSpacing/>
              <w:jc w:val="center"/>
            </w:pPr>
            <w:r>
              <w:t>2.77</w:t>
            </w:r>
          </w:p>
        </w:tc>
        <w:tc>
          <w:tcPr>
            <w:tcW w:w="969" w:type="dxa"/>
            <w:shd w:val="clear" w:color="auto" w:fill="D9D9D9" w:themeFill="background1" w:themeFillShade="D9"/>
          </w:tcPr>
          <w:p w14:paraId="18733D77" w14:textId="77777777" w:rsidR="00C97451" w:rsidRDefault="00492211" w:rsidP="00A06364">
            <w:pPr>
              <w:contextualSpacing/>
              <w:jc w:val="center"/>
            </w:pPr>
            <w:r>
              <w:t>0.19/</w:t>
            </w:r>
          </w:p>
          <w:p w14:paraId="1809B1C9" w14:textId="77777777" w:rsidR="00492211" w:rsidRPr="00A45238" w:rsidRDefault="00492211" w:rsidP="00A06364">
            <w:pPr>
              <w:contextualSpacing/>
              <w:jc w:val="center"/>
            </w:pPr>
            <w:r>
              <w:t>0.65</w:t>
            </w:r>
          </w:p>
        </w:tc>
      </w:tr>
      <w:tr w:rsidR="00C97451" w14:paraId="55FD2F55" w14:textId="77777777" w:rsidTr="0088745D">
        <w:trPr>
          <w:jc w:val="center"/>
        </w:trPr>
        <w:tc>
          <w:tcPr>
            <w:tcW w:w="1975" w:type="dxa"/>
            <w:shd w:val="clear" w:color="auto" w:fill="auto"/>
          </w:tcPr>
          <w:p w14:paraId="6AF51EE0" w14:textId="77777777" w:rsidR="00C97451" w:rsidRPr="00A96E76" w:rsidRDefault="00C97451" w:rsidP="00A06364">
            <w:pPr>
              <w:contextualSpacing/>
            </w:pPr>
            <w:r w:rsidRPr="00A96E76">
              <w:t>D. Teachers advocate for schools and student.</w:t>
            </w:r>
          </w:p>
        </w:tc>
        <w:tc>
          <w:tcPr>
            <w:tcW w:w="1345" w:type="dxa"/>
            <w:gridSpan w:val="2"/>
            <w:shd w:val="clear" w:color="auto" w:fill="auto"/>
          </w:tcPr>
          <w:p w14:paraId="58AE6C56" w14:textId="77777777" w:rsidR="00C97451" w:rsidRPr="00A45238" w:rsidRDefault="00023670" w:rsidP="00A06364">
            <w:pPr>
              <w:contextualSpacing/>
              <w:jc w:val="center"/>
            </w:pPr>
            <w:r>
              <w:t>1.93</w:t>
            </w:r>
          </w:p>
        </w:tc>
        <w:tc>
          <w:tcPr>
            <w:tcW w:w="1344" w:type="dxa"/>
            <w:shd w:val="clear" w:color="auto" w:fill="auto"/>
          </w:tcPr>
          <w:p w14:paraId="367F0DEA" w14:textId="77777777" w:rsidR="00C97451" w:rsidRPr="00A45238" w:rsidRDefault="00C97451" w:rsidP="00A06364">
            <w:pPr>
              <w:contextualSpacing/>
              <w:jc w:val="center"/>
            </w:pPr>
            <w:r>
              <w:t>2.00</w:t>
            </w:r>
          </w:p>
        </w:tc>
        <w:tc>
          <w:tcPr>
            <w:tcW w:w="1344" w:type="dxa"/>
            <w:shd w:val="clear" w:color="auto" w:fill="auto"/>
          </w:tcPr>
          <w:p w14:paraId="43458859" w14:textId="77777777" w:rsidR="00C97451" w:rsidRPr="00A45238" w:rsidRDefault="00023670" w:rsidP="00A06364">
            <w:pPr>
              <w:contextualSpacing/>
              <w:jc w:val="center"/>
            </w:pPr>
            <w:r>
              <w:t>2.38</w:t>
            </w:r>
          </w:p>
        </w:tc>
        <w:tc>
          <w:tcPr>
            <w:tcW w:w="993" w:type="dxa"/>
            <w:shd w:val="clear" w:color="auto" w:fill="D9D9D9" w:themeFill="background1" w:themeFillShade="D9"/>
          </w:tcPr>
          <w:p w14:paraId="5D8C9CF7" w14:textId="77777777" w:rsidR="00C97451" w:rsidRDefault="005E268C" w:rsidP="00A06364">
            <w:pPr>
              <w:contextualSpacing/>
              <w:jc w:val="center"/>
            </w:pPr>
            <w:r>
              <w:t>0.38</w:t>
            </w:r>
          </w:p>
        </w:tc>
        <w:tc>
          <w:tcPr>
            <w:tcW w:w="1344" w:type="dxa"/>
            <w:shd w:val="clear" w:color="auto" w:fill="auto"/>
          </w:tcPr>
          <w:p w14:paraId="766E9960" w14:textId="77777777" w:rsidR="00C97451" w:rsidRPr="00A45238" w:rsidRDefault="00C97451" w:rsidP="00A06364">
            <w:pPr>
              <w:contextualSpacing/>
              <w:jc w:val="center"/>
            </w:pPr>
            <w:r>
              <w:t>1.85</w:t>
            </w:r>
          </w:p>
        </w:tc>
        <w:tc>
          <w:tcPr>
            <w:tcW w:w="1320" w:type="dxa"/>
            <w:shd w:val="clear" w:color="auto" w:fill="auto"/>
          </w:tcPr>
          <w:p w14:paraId="0BFEFC6D" w14:textId="77777777" w:rsidR="00C97451" w:rsidRPr="00A45238" w:rsidRDefault="00C97451" w:rsidP="00A06364">
            <w:pPr>
              <w:contextualSpacing/>
              <w:jc w:val="center"/>
            </w:pPr>
            <w:r>
              <w:t>2.19</w:t>
            </w:r>
          </w:p>
        </w:tc>
        <w:tc>
          <w:tcPr>
            <w:tcW w:w="992" w:type="dxa"/>
            <w:shd w:val="clear" w:color="auto" w:fill="D9D9D9" w:themeFill="background1" w:themeFillShade="D9"/>
          </w:tcPr>
          <w:p w14:paraId="5026A183" w14:textId="77777777" w:rsidR="00C97451" w:rsidRPr="00A45238" w:rsidRDefault="009A3AA6" w:rsidP="00A06364">
            <w:pPr>
              <w:contextualSpacing/>
              <w:jc w:val="center"/>
            </w:pPr>
            <w:r>
              <w:t>0.34</w:t>
            </w:r>
          </w:p>
        </w:tc>
        <w:tc>
          <w:tcPr>
            <w:tcW w:w="1324" w:type="dxa"/>
            <w:shd w:val="clear" w:color="auto" w:fill="auto"/>
          </w:tcPr>
          <w:p w14:paraId="750EF61A" w14:textId="77777777" w:rsidR="00C97451" w:rsidRPr="00A45238" w:rsidRDefault="003D686E" w:rsidP="00A06364">
            <w:pPr>
              <w:contextualSpacing/>
              <w:jc w:val="center"/>
            </w:pPr>
            <w:r>
              <w:t>2.38</w:t>
            </w:r>
          </w:p>
        </w:tc>
        <w:tc>
          <w:tcPr>
            <w:tcW w:w="969" w:type="dxa"/>
            <w:shd w:val="clear" w:color="auto" w:fill="D9D9D9" w:themeFill="background1" w:themeFillShade="D9"/>
          </w:tcPr>
          <w:p w14:paraId="5A0449A4" w14:textId="77777777" w:rsidR="00C97451" w:rsidRDefault="00492211" w:rsidP="00A06364">
            <w:pPr>
              <w:contextualSpacing/>
              <w:jc w:val="center"/>
            </w:pPr>
            <w:r>
              <w:t>0.19/</w:t>
            </w:r>
          </w:p>
          <w:p w14:paraId="7189FEB4" w14:textId="77777777" w:rsidR="00492211" w:rsidRPr="00A45238" w:rsidRDefault="00492211" w:rsidP="00A06364">
            <w:pPr>
              <w:contextualSpacing/>
              <w:jc w:val="center"/>
            </w:pPr>
            <w:r>
              <w:t>0.53</w:t>
            </w:r>
          </w:p>
        </w:tc>
      </w:tr>
      <w:tr w:rsidR="00C97451" w14:paraId="416572A8" w14:textId="77777777" w:rsidTr="0088745D">
        <w:trPr>
          <w:jc w:val="center"/>
        </w:trPr>
        <w:tc>
          <w:tcPr>
            <w:tcW w:w="1975" w:type="dxa"/>
            <w:shd w:val="clear" w:color="auto" w:fill="auto"/>
          </w:tcPr>
          <w:p w14:paraId="6D0DB81A" w14:textId="77777777" w:rsidR="00C97451" w:rsidRPr="00A96E76" w:rsidRDefault="00C97451" w:rsidP="00A06364">
            <w:pPr>
              <w:contextualSpacing/>
            </w:pPr>
            <w:r w:rsidRPr="00A96E76">
              <w:t>E. Teachers demonstrate high ethical standards.</w:t>
            </w:r>
          </w:p>
        </w:tc>
        <w:tc>
          <w:tcPr>
            <w:tcW w:w="1345" w:type="dxa"/>
            <w:gridSpan w:val="2"/>
            <w:shd w:val="clear" w:color="auto" w:fill="auto"/>
          </w:tcPr>
          <w:p w14:paraId="425CB0AF" w14:textId="77777777" w:rsidR="00C97451" w:rsidRPr="00A45238" w:rsidRDefault="00023670" w:rsidP="00A06364">
            <w:pPr>
              <w:contextualSpacing/>
              <w:jc w:val="center"/>
            </w:pPr>
            <w:r>
              <w:t>2.70</w:t>
            </w:r>
          </w:p>
        </w:tc>
        <w:tc>
          <w:tcPr>
            <w:tcW w:w="1344" w:type="dxa"/>
            <w:shd w:val="clear" w:color="auto" w:fill="auto"/>
          </w:tcPr>
          <w:p w14:paraId="78F3117F" w14:textId="77777777" w:rsidR="00C97451" w:rsidRPr="00A45238" w:rsidRDefault="00C97451" w:rsidP="00A06364">
            <w:pPr>
              <w:contextualSpacing/>
              <w:jc w:val="center"/>
            </w:pPr>
            <w:r>
              <w:t>3.07</w:t>
            </w:r>
          </w:p>
        </w:tc>
        <w:tc>
          <w:tcPr>
            <w:tcW w:w="1344" w:type="dxa"/>
            <w:shd w:val="clear" w:color="auto" w:fill="auto"/>
          </w:tcPr>
          <w:p w14:paraId="1FF332DE" w14:textId="77777777" w:rsidR="00C97451" w:rsidRPr="00A45238" w:rsidRDefault="00023670" w:rsidP="00A06364">
            <w:pPr>
              <w:contextualSpacing/>
              <w:jc w:val="center"/>
            </w:pPr>
            <w:r>
              <w:t>3.16</w:t>
            </w:r>
          </w:p>
        </w:tc>
        <w:tc>
          <w:tcPr>
            <w:tcW w:w="993" w:type="dxa"/>
            <w:shd w:val="clear" w:color="auto" w:fill="D9D9D9" w:themeFill="background1" w:themeFillShade="D9"/>
          </w:tcPr>
          <w:p w14:paraId="4FF340B2" w14:textId="77777777" w:rsidR="00C97451" w:rsidRDefault="005E268C" w:rsidP="00A06364">
            <w:pPr>
              <w:contextualSpacing/>
              <w:jc w:val="center"/>
            </w:pPr>
            <w:r>
              <w:t>0.09</w:t>
            </w:r>
          </w:p>
        </w:tc>
        <w:tc>
          <w:tcPr>
            <w:tcW w:w="1344" w:type="dxa"/>
            <w:shd w:val="clear" w:color="auto" w:fill="auto"/>
          </w:tcPr>
          <w:p w14:paraId="4205C288" w14:textId="77777777" w:rsidR="00C97451" w:rsidRPr="00A45238" w:rsidRDefault="00C97451" w:rsidP="00A06364">
            <w:pPr>
              <w:contextualSpacing/>
              <w:jc w:val="center"/>
            </w:pPr>
            <w:r>
              <w:t>2.82</w:t>
            </w:r>
          </w:p>
        </w:tc>
        <w:tc>
          <w:tcPr>
            <w:tcW w:w="1320" w:type="dxa"/>
            <w:shd w:val="clear" w:color="auto" w:fill="auto"/>
          </w:tcPr>
          <w:p w14:paraId="7204BB63" w14:textId="77777777" w:rsidR="00C97451" w:rsidRPr="00A45238" w:rsidRDefault="00C97451" w:rsidP="00A06364">
            <w:pPr>
              <w:contextualSpacing/>
              <w:jc w:val="center"/>
            </w:pPr>
            <w:r>
              <w:t>2.94</w:t>
            </w:r>
          </w:p>
        </w:tc>
        <w:tc>
          <w:tcPr>
            <w:tcW w:w="992" w:type="dxa"/>
            <w:shd w:val="clear" w:color="auto" w:fill="D9D9D9" w:themeFill="background1" w:themeFillShade="D9"/>
          </w:tcPr>
          <w:p w14:paraId="3A95B8F4" w14:textId="77777777" w:rsidR="00C97451" w:rsidRPr="00A45238" w:rsidRDefault="009A3AA6" w:rsidP="00A06364">
            <w:pPr>
              <w:contextualSpacing/>
              <w:jc w:val="center"/>
            </w:pPr>
            <w:r>
              <w:t>0.12</w:t>
            </w:r>
          </w:p>
        </w:tc>
        <w:tc>
          <w:tcPr>
            <w:tcW w:w="1324" w:type="dxa"/>
            <w:shd w:val="clear" w:color="auto" w:fill="auto"/>
          </w:tcPr>
          <w:p w14:paraId="1CE54960" w14:textId="77777777" w:rsidR="00C97451" w:rsidRPr="00A45238" w:rsidRDefault="003D686E" w:rsidP="00A06364">
            <w:pPr>
              <w:contextualSpacing/>
              <w:jc w:val="center"/>
            </w:pPr>
            <w:r>
              <w:t>3.15</w:t>
            </w:r>
          </w:p>
        </w:tc>
        <w:tc>
          <w:tcPr>
            <w:tcW w:w="969" w:type="dxa"/>
            <w:shd w:val="clear" w:color="auto" w:fill="D9D9D9" w:themeFill="background1" w:themeFillShade="D9"/>
          </w:tcPr>
          <w:p w14:paraId="233CAE76" w14:textId="77777777" w:rsidR="00C97451" w:rsidRDefault="00492211" w:rsidP="00A06364">
            <w:pPr>
              <w:contextualSpacing/>
              <w:jc w:val="center"/>
            </w:pPr>
            <w:r>
              <w:t>0.21/</w:t>
            </w:r>
          </w:p>
          <w:p w14:paraId="69FD9C63" w14:textId="77777777" w:rsidR="00492211" w:rsidRPr="00A45238" w:rsidRDefault="00492211" w:rsidP="00A06364">
            <w:pPr>
              <w:contextualSpacing/>
              <w:jc w:val="center"/>
            </w:pPr>
            <w:r>
              <w:t>0.33</w:t>
            </w:r>
          </w:p>
        </w:tc>
      </w:tr>
      <w:tr w:rsidR="00C97451" w14:paraId="5476AF5C" w14:textId="77777777" w:rsidTr="0088745D">
        <w:trPr>
          <w:jc w:val="center"/>
        </w:trPr>
        <w:tc>
          <w:tcPr>
            <w:tcW w:w="1975" w:type="dxa"/>
            <w:shd w:val="clear" w:color="auto" w:fill="auto"/>
          </w:tcPr>
          <w:p w14:paraId="6BEC7810" w14:textId="77777777" w:rsidR="00C97451" w:rsidRPr="00A96E76" w:rsidRDefault="00C97451" w:rsidP="00A06364">
            <w:pPr>
              <w:contextualSpacing/>
            </w:pPr>
            <w:r w:rsidRPr="00A96E76">
              <w:t>Overall rating for Teachers Demonstrate Leadership</w:t>
            </w:r>
          </w:p>
        </w:tc>
        <w:tc>
          <w:tcPr>
            <w:tcW w:w="1345" w:type="dxa"/>
            <w:gridSpan w:val="2"/>
            <w:shd w:val="clear" w:color="auto" w:fill="auto"/>
          </w:tcPr>
          <w:p w14:paraId="69C6E044" w14:textId="77777777" w:rsidR="00C97451" w:rsidRPr="00A45238" w:rsidRDefault="00023670" w:rsidP="00A06364">
            <w:pPr>
              <w:contextualSpacing/>
              <w:jc w:val="center"/>
            </w:pPr>
            <w:r>
              <w:t>2.09</w:t>
            </w:r>
          </w:p>
        </w:tc>
        <w:tc>
          <w:tcPr>
            <w:tcW w:w="1344" w:type="dxa"/>
            <w:shd w:val="clear" w:color="auto" w:fill="auto"/>
          </w:tcPr>
          <w:p w14:paraId="0D96849F" w14:textId="77777777" w:rsidR="00C97451" w:rsidRPr="00A45238" w:rsidRDefault="00C97451" w:rsidP="00A06364">
            <w:pPr>
              <w:contextualSpacing/>
              <w:jc w:val="center"/>
            </w:pPr>
            <w:r>
              <w:t>2.12</w:t>
            </w:r>
          </w:p>
        </w:tc>
        <w:tc>
          <w:tcPr>
            <w:tcW w:w="1344" w:type="dxa"/>
            <w:shd w:val="clear" w:color="auto" w:fill="auto"/>
          </w:tcPr>
          <w:p w14:paraId="626A7B29" w14:textId="77777777" w:rsidR="00C97451" w:rsidRPr="00A45238" w:rsidRDefault="00023670" w:rsidP="00A06364">
            <w:pPr>
              <w:contextualSpacing/>
              <w:jc w:val="center"/>
            </w:pPr>
            <w:r>
              <w:t>2.56</w:t>
            </w:r>
          </w:p>
        </w:tc>
        <w:tc>
          <w:tcPr>
            <w:tcW w:w="993" w:type="dxa"/>
            <w:shd w:val="clear" w:color="auto" w:fill="D9D9D9" w:themeFill="background1" w:themeFillShade="D9"/>
          </w:tcPr>
          <w:p w14:paraId="2A03C4F7" w14:textId="77777777" w:rsidR="00C97451" w:rsidRDefault="005E268C" w:rsidP="00A06364">
            <w:pPr>
              <w:contextualSpacing/>
              <w:jc w:val="center"/>
            </w:pPr>
            <w:r>
              <w:t>0.44</w:t>
            </w:r>
          </w:p>
        </w:tc>
        <w:tc>
          <w:tcPr>
            <w:tcW w:w="1344" w:type="dxa"/>
            <w:shd w:val="clear" w:color="auto" w:fill="auto"/>
          </w:tcPr>
          <w:p w14:paraId="6DA7EEE0" w14:textId="77777777" w:rsidR="00C97451" w:rsidRPr="00A45238" w:rsidRDefault="00C97451" w:rsidP="00A06364">
            <w:pPr>
              <w:contextualSpacing/>
              <w:jc w:val="center"/>
            </w:pPr>
            <w:r>
              <w:t>1.91</w:t>
            </w:r>
          </w:p>
        </w:tc>
        <w:tc>
          <w:tcPr>
            <w:tcW w:w="1320" w:type="dxa"/>
            <w:shd w:val="clear" w:color="auto" w:fill="auto"/>
          </w:tcPr>
          <w:p w14:paraId="5E83FB96" w14:textId="77777777" w:rsidR="00C97451" w:rsidRPr="00A45238" w:rsidRDefault="00C97451" w:rsidP="00A06364">
            <w:pPr>
              <w:contextualSpacing/>
              <w:jc w:val="center"/>
            </w:pPr>
            <w:r>
              <w:t>2.48</w:t>
            </w:r>
          </w:p>
        </w:tc>
        <w:tc>
          <w:tcPr>
            <w:tcW w:w="992" w:type="dxa"/>
            <w:shd w:val="clear" w:color="auto" w:fill="D9D9D9" w:themeFill="background1" w:themeFillShade="D9"/>
          </w:tcPr>
          <w:p w14:paraId="08579F35" w14:textId="77777777" w:rsidR="00C97451" w:rsidRPr="00A45238" w:rsidRDefault="009A3AA6" w:rsidP="00A06364">
            <w:pPr>
              <w:contextualSpacing/>
              <w:jc w:val="center"/>
            </w:pPr>
            <w:r>
              <w:t>0.57</w:t>
            </w:r>
          </w:p>
        </w:tc>
        <w:tc>
          <w:tcPr>
            <w:tcW w:w="1324" w:type="dxa"/>
            <w:shd w:val="clear" w:color="auto" w:fill="auto"/>
          </w:tcPr>
          <w:p w14:paraId="24837572" w14:textId="77777777" w:rsidR="00C97451" w:rsidRPr="00A45238" w:rsidRDefault="003D686E" w:rsidP="00A06364">
            <w:pPr>
              <w:contextualSpacing/>
              <w:jc w:val="center"/>
            </w:pPr>
            <w:r>
              <w:t>2.54</w:t>
            </w:r>
          </w:p>
        </w:tc>
        <w:tc>
          <w:tcPr>
            <w:tcW w:w="969" w:type="dxa"/>
            <w:shd w:val="clear" w:color="auto" w:fill="D9D9D9" w:themeFill="background1" w:themeFillShade="D9"/>
          </w:tcPr>
          <w:p w14:paraId="623D4AF0" w14:textId="77777777" w:rsidR="00C97451" w:rsidRDefault="00492211" w:rsidP="00A06364">
            <w:pPr>
              <w:contextualSpacing/>
              <w:jc w:val="center"/>
            </w:pPr>
            <w:r>
              <w:t>0.06/</w:t>
            </w:r>
          </w:p>
          <w:p w14:paraId="6470BFB0" w14:textId="77777777" w:rsidR="00492211" w:rsidRPr="00A45238" w:rsidRDefault="00492211" w:rsidP="00A06364">
            <w:pPr>
              <w:contextualSpacing/>
              <w:jc w:val="center"/>
            </w:pPr>
            <w:r>
              <w:t>0.63</w:t>
            </w:r>
          </w:p>
        </w:tc>
      </w:tr>
      <w:tr w:rsidR="003D686E" w14:paraId="68642501" w14:textId="77777777" w:rsidTr="003D686E">
        <w:trPr>
          <w:jc w:val="center"/>
        </w:trPr>
        <w:tc>
          <w:tcPr>
            <w:tcW w:w="12950" w:type="dxa"/>
            <w:gridSpan w:val="11"/>
            <w:shd w:val="clear" w:color="auto" w:fill="A6A6A6" w:themeFill="background1" w:themeFillShade="A6"/>
          </w:tcPr>
          <w:p w14:paraId="68322FE4" w14:textId="77777777" w:rsidR="003D686E" w:rsidRPr="00A96E76" w:rsidRDefault="003D686E" w:rsidP="00C31DD1">
            <w:pPr>
              <w:contextualSpacing/>
              <w:rPr>
                <w:b/>
              </w:rPr>
            </w:pPr>
            <w:r>
              <w:lastRenderedPageBreak/>
              <w:br w:type="page"/>
            </w:r>
            <w:r w:rsidRPr="00A96E76">
              <w:rPr>
                <w:b/>
              </w:rPr>
              <w:t>Standard 2: Teachers establish a respectful environment for a diverse population of students</w:t>
            </w:r>
          </w:p>
        </w:tc>
      </w:tr>
      <w:tr w:rsidR="003D686E" w14:paraId="69EE6C38" w14:textId="77777777" w:rsidTr="0088745D">
        <w:trPr>
          <w:jc w:val="center"/>
        </w:trPr>
        <w:tc>
          <w:tcPr>
            <w:tcW w:w="1975" w:type="dxa"/>
            <w:shd w:val="clear" w:color="auto" w:fill="auto"/>
          </w:tcPr>
          <w:p w14:paraId="64EC75C5" w14:textId="77777777" w:rsidR="003D686E" w:rsidRDefault="003D686E" w:rsidP="00A06364">
            <w:pPr>
              <w:contextualSpacing/>
            </w:pPr>
            <w:r w:rsidRPr="00A96E76">
              <w:t>A. Teachers provide an environment in which each child has a positive, nurturing relationship with caring adults.</w:t>
            </w:r>
          </w:p>
        </w:tc>
        <w:tc>
          <w:tcPr>
            <w:tcW w:w="1345" w:type="dxa"/>
            <w:gridSpan w:val="2"/>
            <w:shd w:val="clear" w:color="auto" w:fill="auto"/>
          </w:tcPr>
          <w:p w14:paraId="5E6F01AC" w14:textId="77777777" w:rsidR="003D686E" w:rsidRPr="00A45238" w:rsidRDefault="00023670" w:rsidP="00A06364">
            <w:pPr>
              <w:contextualSpacing/>
              <w:jc w:val="center"/>
            </w:pPr>
            <w:r>
              <w:t>2.67</w:t>
            </w:r>
          </w:p>
        </w:tc>
        <w:tc>
          <w:tcPr>
            <w:tcW w:w="1344" w:type="dxa"/>
            <w:shd w:val="clear" w:color="auto" w:fill="auto"/>
          </w:tcPr>
          <w:p w14:paraId="63A00E08" w14:textId="77777777" w:rsidR="003D686E" w:rsidRPr="00A45238" w:rsidRDefault="003D686E" w:rsidP="00A06364">
            <w:pPr>
              <w:contextualSpacing/>
              <w:jc w:val="center"/>
            </w:pPr>
            <w:r>
              <w:t>2.79</w:t>
            </w:r>
          </w:p>
        </w:tc>
        <w:tc>
          <w:tcPr>
            <w:tcW w:w="1344" w:type="dxa"/>
            <w:shd w:val="clear" w:color="auto" w:fill="auto"/>
          </w:tcPr>
          <w:p w14:paraId="0E472DFD" w14:textId="77777777" w:rsidR="003D686E" w:rsidRPr="00A45238" w:rsidRDefault="00023670" w:rsidP="00A06364">
            <w:pPr>
              <w:contextualSpacing/>
              <w:jc w:val="center"/>
            </w:pPr>
            <w:r>
              <w:t>2.97</w:t>
            </w:r>
          </w:p>
        </w:tc>
        <w:tc>
          <w:tcPr>
            <w:tcW w:w="993" w:type="dxa"/>
            <w:shd w:val="clear" w:color="auto" w:fill="D9D9D9" w:themeFill="background1" w:themeFillShade="D9"/>
          </w:tcPr>
          <w:p w14:paraId="5BBBF7A9" w14:textId="77777777" w:rsidR="003D686E" w:rsidRDefault="005E268C" w:rsidP="00A06364">
            <w:pPr>
              <w:contextualSpacing/>
              <w:jc w:val="center"/>
            </w:pPr>
            <w:r>
              <w:t>0.18</w:t>
            </w:r>
          </w:p>
        </w:tc>
        <w:tc>
          <w:tcPr>
            <w:tcW w:w="1344" w:type="dxa"/>
            <w:shd w:val="clear" w:color="auto" w:fill="auto"/>
          </w:tcPr>
          <w:p w14:paraId="5518E370" w14:textId="77777777" w:rsidR="003D686E" w:rsidRPr="00A45238" w:rsidRDefault="003D686E" w:rsidP="00A06364">
            <w:pPr>
              <w:contextualSpacing/>
              <w:jc w:val="center"/>
            </w:pPr>
            <w:r>
              <w:t>2.62</w:t>
            </w:r>
          </w:p>
        </w:tc>
        <w:tc>
          <w:tcPr>
            <w:tcW w:w="1320" w:type="dxa"/>
            <w:shd w:val="clear" w:color="auto" w:fill="auto"/>
          </w:tcPr>
          <w:p w14:paraId="36DA1FBF" w14:textId="77777777" w:rsidR="003D686E" w:rsidRPr="00A45238" w:rsidRDefault="003D686E" w:rsidP="00A06364">
            <w:pPr>
              <w:contextualSpacing/>
              <w:jc w:val="center"/>
            </w:pPr>
            <w:r>
              <w:t>2.97</w:t>
            </w:r>
          </w:p>
        </w:tc>
        <w:tc>
          <w:tcPr>
            <w:tcW w:w="992" w:type="dxa"/>
            <w:shd w:val="clear" w:color="auto" w:fill="D9D9D9" w:themeFill="background1" w:themeFillShade="D9"/>
          </w:tcPr>
          <w:p w14:paraId="6900B6FB" w14:textId="77777777" w:rsidR="003D686E" w:rsidRPr="00A45238" w:rsidRDefault="003D686E" w:rsidP="00A06364">
            <w:pPr>
              <w:contextualSpacing/>
              <w:jc w:val="center"/>
            </w:pPr>
            <w:r>
              <w:t>0.35</w:t>
            </w:r>
          </w:p>
        </w:tc>
        <w:tc>
          <w:tcPr>
            <w:tcW w:w="1324" w:type="dxa"/>
            <w:shd w:val="clear" w:color="auto" w:fill="auto"/>
          </w:tcPr>
          <w:p w14:paraId="5B7897CB" w14:textId="77777777" w:rsidR="003D686E" w:rsidRPr="00A45238" w:rsidRDefault="003D686E" w:rsidP="00A06364">
            <w:pPr>
              <w:contextualSpacing/>
              <w:jc w:val="center"/>
            </w:pPr>
            <w:r>
              <w:t>3.00</w:t>
            </w:r>
          </w:p>
        </w:tc>
        <w:tc>
          <w:tcPr>
            <w:tcW w:w="969" w:type="dxa"/>
            <w:shd w:val="clear" w:color="auto" w:fill="D9D9D9" w:themeFill="background1" w:themeFillShade="D9"/>
          </w:tcPr>
          <w:p w14:paraId="3C643411" w14:textId="77777777" w:rsidR="003D686E" w:rsidRDefault="005C0F95" w:rsidP="00A06364">
            <w:pPr>
              <w:contextualSpacing/>
              <w:jc w:val="center"/>
            </w:pPr>
            <w:r>
              <w:t>0.03/</w:t>
            </w:r>
          </w:p>
          <w:p w14:paraId="6B2E4A89" w14:textId="77777777" w:rsidR="005C0F95" w:rsidRPr="00A45238" w:rsidRDefault="005C0F95" w:rsidP="00A06364">
            <w:pPr>
              <w:contextualSpacing/>
              <w:jc w:val="center"/>
            </w:pPr>
            <w:r>
              <w:t>0.38</w:t>
            </w:r>
          </w:p>
        </w:tc>
      </w:tr>
      <w:tr w:rsidR="003D686E" w14:paraId="5CE2E609" w14:textId="77777777" w:rsidTr="0088745D">
        <w:trPr>
          <w:jc w:val="center"/>
        </w:trPr>
        <w:tc>
          <w:tcPr>
            <w:tcW w:w="1975" w:type="dxa"/>
            <w:shd w:val="clear" w:color="auto" w:fill="auto"/>
          </w:tcPr>
          <w:p w14:paraId="7ABA8352" w14:textId="77777777" w:rsidR="003D686E" w:rsidRDefault="003D686E" w:rsidP="00A06364">
            <w:pPr>
              <w:contextualSpacing/>
            </w:pPr>
            <w:r w:rsidRPr="00A96E76">
              <w:t>B. Teachers embrace diversity in the school community and in the world.</w:t>
            </w:r>
          </w:p>
        </w:tc>
        <w:tc>
          <w:tcPr>
            <w:tcW w:w="1345" w:type="dxa"/>
            <w:gridSpan w:val="2"/>
            <w:shd w:val="clear" w:color="auto" w:fill="auto"/>
          </w:tcPr>
          <w:p w14:paraId="604CDEF7" w14:textId="77777777" w:rsidR="003D686E" w:rsidRPr="00A45238" w:rsidRDefault="00023670" w:rsidP="00A06364">
            <w:pPr>
              <w:contextualSpacing/>
              <w:jc w:val="center"/>
            </w:pPr>
            <w:r>
              <w:t>1.74</w:t>
            </w:r>
          </w:p>
        </w:tc>
        <w:tc>
          <w:tcPr>
            <w:tcW w:w="1344" w:type="dxa"/>
            <w:shd w:val="clear" w:color="auto" w:fill="auto"/>
          </w:tcPr>
          <w:p w14:paraId="0012A571" w14:textId="77777777" w:rsidR="003D686E" w:rsidRPr="00A45238" w:rsidRDefault="003D686E" w:rsidP="00A06364">
            <w:pPr>
              <w:contextualSpacing/>
              <w:jc w:val="center"/>
            </w:pPr>
            <w:r>
              <w:t>2.00</w:t>
            </w:r>
          </w:p>
        </w:tc>
        <w:tc>
          <w:tcPr>
            <w:tcW w:w="1344" w:type="dxa"/>
            <w:shd w:val="clear" w:color="auto" w:fill="auto"/>
          </w:tcPr>
          <w:p w14:paraId="66618F41" w14:textId="77777777" w:rsidR="003D686E" w:rsidRPr="00A45238" w:rsidRDefault="00023670" w:rsidP="00A06364">
            <w:pPr>
              <w:contextualSpacing/>
              <w:jc w:val="center"/>
            </w:pPr>
            <w:r>
              <w:t>2.25</w:t>
            </w:r>
          </w:p>
        </w:tc>
        <w:tc>
          <w:tcPr>
            <w:tcW w:w="993" w:type="dxa"/>
            <w:shd w:val="clear" w:color="auto" w:fill="D9D9D9" w:themeFill="background1" w:themeFillShade="D9"/>
          </w:tcPr>
          <w:p w14:paraId="47C19B16" w14:textId="77777777" w:rsidR="003D686E" w:rsidRDefault="005E268C" w:rsidP="00A06364">
            <w:pPr>
              <w:contextualSpacing/>
              <w:jc w:val="center"/>
            </w:pPr>
            <w:r>
              <w:t>0.25</w:t>
            </w:r>
          </w:p>
        </w:tc>
        <w:tc>
          <w:tcPr>
            <w:tcW w:w="1344" w:type="dxa"/>
            <w:shd w:val="clear" w:color="auto" w:fill="auto"/>
          </w:tcPr>
          <w:p w14:paraId="696786BD" w14:textId="77777777" w:rsidR="003D686E" w:rsidRPr="00A45238" w:rsidRDefault="003D686E" w:rsidP="00A06364">
            <w:pPr>
              <w:contextualSpacing/>
              <w:jc w:val="center"/>
            </w:pPr>
            <w:r>
              <w:t>1.88</w:t>
            </w:r>
          </w:p>
        </w:tc>
        <w:tc>
          <w:tcPr>
            <w:tcW w:w="1320" w:type="dxa"/>
            <w:shd w:val="clear" w:color="auto" w:fill="auto"/>
          </w:tcPr>
          <w:p w14:paraId="43A8E224" w14:textId="77777777" w:rsidR="003D686E" w:rsidRPr="00A45238" w:rsidRDefault="003D686E" w:rsidP="00A06364">
            <w:pPr>
              <w:contextualSpacing/>
              <w:jc w:val="center"/>
            </w:pPr>
            <w:r>
              <w:t>2.42</w:t>
            </w:r>
          </w:p>
        </w:tc>
        <w:tc>
          <w:tcPr>
            <w:tcW w:w="992" w:type="dxa"/>
            <w:shd w:val="clear" w:color="auto" w:fill="D9D9D9" w:themeFill="background1" w:themeFillShade="D9"/>
          </w:tcPr>
          <w:p w14:paraId="40F864FB" w14:textId="77777777" w:rsidR="003D686E" w:rsidRPr="00A45238" w:rsidRDefault="003D686E" w:rsidP="00A06364">
            <w:pPr>
              <w:contextualSpacing/>
              <w:jc w:val="center"/>
            </w:pPr>
            <w:r>
              <w:t>0.54</w:t>
            </w:r>
          </w:p>
        </w:tc>
        <w:tc>
          <w:tcPr>
            <w:tcW w:w="1324" w:type="dxa"/>
            <w:shd w:val="clear" w:color="auto" w:fill="auto"/>
          </w:tcPr>
          <w:p w14:paraId="1446CC39" w14:textId="77777777" w:rsidR="003D686E" w:rsidRPr="00A45238" w:rsidRDefault="003D686E" w:rsidP="00A06364">
            <w:pPr>
              <w:contextualSpacing/>
              <w:jc w:val="center"/>
            </w:pPr>
            <w:r>
              <w:t>2.46</w:t>
            </w:r>
          </w:p>
        </w:tc>
        <w:tc>
          <w:tcPr>
            <w:tcW w:w="969" w:type="dxa"/>
            <w:shd w:val="clear" w:color="auto" w:fill="D9D9D9" w:themeFill="background1" w:themeFillShade="D9"/>
          </w:tcPr>
          <w:p w14:paraId="7B1574C7" w14:textId="77777777" w:rsidR="003D686E" w:rsidRDefault="005C0F95" w:rsidP="00A06364">
            <w:pPr>
              <w:contextualSpacing/>
              <w:jc w:val="center"/>
            </w:pPr>
            <w:r>
              <w:t>0.04/</w:t>
            </w:r>
          </w:p>
          <w:p w14:paraId="012E00D7" w14:textId="77777777" w:rsidR="005C0F95" w:rsidRPr="00A45238" w:rsidRDefault="005C0F95" w:rsidP="00A06364">
            <w:pPr>
              <w:contextualSpacing/>
              <w:jc w:val="center"/>
            </w:pPr>
            <w:r>
              <w:t>0.58</w:t>
            </w:r>
          </w:p>
        </w:tc>
      </w:tr>
      <w:tr w:rsidR="003D686E" w14:paraId="4CA9BE8E" w14:textId="77777777" w:rsidTr="0088745D">
        <w:trPr>
          <w:jc w:val="center"/>
        </w:trPr>
        <w:tc>
          <w:tcPr>
            <w:tcW w:w="1975" w:type="dxa"/>
            <w:shd w:val="clear" w:color="auto" w:fill="auto"/>
          </w:tcPr>
          <w:p w14:paraId="079FCE60" w14:textId="77777777" w:rsidR="003D686E" w:rsidRDefault="003D686E" w:rsidP="00A06364">
            <w:pPr>
              <w:contextualSpacing/>
            </w:pPr>
            <w:r w:rsidRPr="00A96E76">
              <w:t>C. Teachers treat students as individuals.</w:t>
            </w:r>
          </w:p>
        </w:tc>
        <w:tc>
          <w:tcPr>
            <w:tcW w:w="1345" w:type="dxa"/>
            <w:gridSpan w:val="2"/>
            <w:shd w:val="clear" w:color="auto" w:fill="auto"/>
          </w:tcPr>
          <w:p w14:paraId="18BCF56B" w14:textId="77777777" w:rsidR="003D686E" w:rsidRPr="00A45238" w:rsidRDefault="00023670" w:rsidP="00A06364">
            <w:pPr>
              <w:contextualSpacing/>
              <w:jc w:val="center"/>
            </w:pPr>
            <w:r>
              <w:t>2.44</w:t>
            </w:r>
          </w:p>
        </w:tc>
        <w:tc>
          <w:tcPr>
            <w:tcW w:w="1344" w:type="dxa"/>
            <w:shd w:val="clear" w:color="auto" w:fill="auto"/>
          </w:tcPr>
          <w:p w14:paraId="241FDAB9" w14:textId="77777777" w:rsidR="003D686E" w:rsidRPr="00A45238" w:rsidRDefault="003D686E" w:rsidP="00A06364">
            <w:pPr>
              <w:contextualSpacing/>
              <w:jc w:val="center"/>
            </w:pPr>
            <w:r>
              <w:t>2.43</w:t>
            </w:r>
          </w:p>
        </w:tc>
        <w:tc>
          <w:tcPr>
            <w:tcW w:w="1344" w:type="dxa"/>
            <w:shd w:val="clear" w:color="auto" w:fill="auto"/>
          </w:tcPr>
          <w:p w14:paraId="75169E4E" w14:textId="77777777" w:rsidR="003D686E" w:rsidRPr="00A45238" w:rsidRDefault="00023670" w:rsidP="00A06364">
            <w:pPr>
              <w:contextualSpacing/>
              <w:jc w:val="center"/>
            </w:pPr>
            <w:r>
              <w:t>3.00</w:t>
            </w:r>
          </w:p>
        </w:tc>
        <w:tc>
          <w:tcPr>
            <w:tcW w:w="993" w:type="dxa"/>
            <w:shd w:val="clear" w:color="auto" w:fill="D9D9D9" w:themeFill="background1" w:themeFillShade="D9"/>
          </w:tcPr>
          <w:p w14:paraId="7FC411E4" w14:textId="77777777" w:rsidR="003D686E" w:rsidRDefault="005E268C" w:rsidP="00A06364">
            <w:pPr>
              <w:contextualSpacing/>
              <w:jc w:val="center"/>
            </w:pPr>
            <w:r>
              <w:t>0.57</w:t>
            </w:r>
          </w:p>
        </w:tc>
        <w:tc>
          <w:tcPr>
            <w:tcW w:w="1344" w:type="dxa"/>
            <w:shd w:val="clear" w:color="auto" w:fill="auto"/>
          </w:tcPr>
          <w:p w14:paraId="1FEF45E6" w14:textId="77777777" w:rsidR="003D686E" w:rsidRPr="00A45238" w:rsidRDefault="003D686E" w:rsidP="00A06364">
            <w:pPr>
              <w:contextualSpacing/>
              <w:jc w:val="center"/>
            </w:pPr>
            <w:r>
              <w:t>2.65</w:t>
            </w:r>
          </w:p>
        </w:tc>
        <w:tc>
          <w:tcPr>
            <w:tcW w:w="1320" w:type="dxa"/>
            <w:shd w:val="clear" w:color="auto" w:fill="auto"/>
          </w:tcPr>
          <w:p w14:paraId="39595BF3" w14:textId="77777777" w:rsidR="003D686E" w:rsidRPr="00A45238" w:rsidRDefault="003D686E" w:rsidP="00A06364">
            <w:pPr>
              <w:contextualSpacing/>
              <w:jc w:val="center"/>
            </w:pPr>
            <w:r>
              <w:t>2.84</w:t>
            </w:r>
          </w:p>
        </w:tc>
        <w:tc>
          <w:tcPr>
            <w:tcW w:w="992" w:type="dxa"/>
            <w:shd w:val="clear" w:color="auto" w:fill="D9D9D9" w:themeFill="background1" w:themeFillShade="D9"/>
          </w:tcPr>
          <w:p w14:paraId="3429597C" w14:textId="77777777" w:rsidR="003D686E" w:rsidRPr="00A45238" w:rsidRDefault="003D686E" w:rsidP="00A06364">
            <w:pPr>
              <w:contextualSpacing/>
              <w:jc w:val="center"/>
            </w:pPr>
            <w:r>
              <w:t>0.19</w:t>
            </w:r>
          </w:p>
        </w:tc>
        <w:tc>
          <w:tcPr>
            <w:tcW w:w="1324" w:type="dxa"/>
            <w:shd w:val="clear" w:color="auto" w:fill="auto"/>
          </w:tcPr>
          <w:p w14:paraId="315ACC94" w14:textId="77777777" w:rsidR="003D686E" w:rsidRPr="00A45238" w:rsidRDefault="00AC60DC" w:rsidP="00A06364">
            <w:pPr>
              <w:contextualSpacing/>
              <w:jc w:val="center"/>
            </w:pPr>
            <w:r>
              <w:t>3.08</w:t>
            </w:r>
          </w:p>
        </w:tc>
        <w:tc>
          <w:tcPr>
            <w:tcW w:w="969" w:type="dxa"/>
            <w:shd w:val="clear" w:color="auto" w:fill="D9D9D9" w:themeFill="background1" w:themeFillShade="D9"/>
          </w:tcPr>
          <w:p w14:paraId="03671E24" w14:textId="77777777" w:rsidR="003D686E" w:rsidRDefault="005C0F95" w:rsidP="00A06364">
            <w:pPr>
              <w:contextualSpacing/>
              <w:jc w:val="center"/>
            </w:pPr>
            <w:r>
              <w:t>0.24/</w:t>
            </w:r>
          </w:p>
          <w:p w14:paraId="25FBEC6C" w14:textId="77777777" w:rsidR="005C0F95" w:rsidRPr="00A45238" w:rsidRDefault="005C0F95" w:rsidP="00A06364">
            <w:pPr>
              <w:contextualSpacing/>
              <w:jc w:val="center"/>
            </w:pPr>
            <w:r>
              <w:t>0.43</w:t>
            </w:r>
          </w:p>
        </w:tc>
      </w:tr>
      <w:tr w:rsidR="003D686E" w14:paraId="021AAC76" w14:textId="77777777" w:rsidTr="0088745D">
        <w:trPr>
          <w:jc w:val="center"/>
        </w:trPr>
        <w:tc>
          <w:tcPr>
            <w:tcW w:w="1975" w:type="dxa"/>
            <w:shd w:val="clear" w:color="auto" w:fill="auto"/>
          </w:tcPr>
          <w:p w14:paraId="270026D4" w14:textId="77777777" w:rsidR="003D686E" w:rsidRDefault="003D686E" w:rsidP="00A06364">
            <w:pPr>
              <w:contextualSpacing/>
            </w:pPr>
            <w:r w:rsidRPr="00A96E76">
              <w:t>D. Teachers adapt their teaching for the benefit of students with special needs.</w:t>
            </w:r>
          </w:p>
        </w:tc>
        <w:tc>
          <w:tcPr>
            <w:tcW w:w="1345" w:type="dxa"/>
            <w:gridSpan w:val="2"/>
            <w:shd w:val="clear" w:color="auto" w:fill="auto"/>
          </w:tcPr>
          <w:p w14:paraId="4BDE534E" w14:textId="77777777" w:rsidR="003D686E" w:rsidRPr="00A45238" w:rsidRDefault="00023670" w:rsidP="00A06364">
            <w:pPr>
              <w:contextualSpacing/>
              <w:jc w:val="center"/>
            </w:pPr>
            <w:r>
              <w:t>2.09</w:t>
            </w:r>
          </w:p>
        </w:tc>
        <w:tc>
          <w:tcPr>
            <w:tcW w:w="1344" w:type="dxa"/>
            <w:shd w:val="clear" w:color="auto" w:fill="auto"/>
          </w:tcPr>
          <w:p w14:paraId="2B2EAB55" w14:textId="77777777" w:rsidR="003D686E" w:rsidRPr="00A45238" w:rsidRDefault="003D686E" w:rsidP="00A06364">
            <w:pPr>
              <w:contextualSpacing/>
              <w:jc w:val="center"/>
            </w:pPr>
            <w:r>
              <w:t>2.10</w:t>
            </w:r>
          </w:p>
        </w:tc>
        <w:tc>
          <w:tcPr>
            <w:tcW w:w="1344" w:type="dxa"/>
            <w:shd w:val="clear" w:color="auto" w:fill="auto"/>
          </w:tcPr>
          <w:p w14:paraId="386FA71C" w14:textId="77777777" w:rsidR="003D686E" w:rsidRPr="00A45238" w:rsidRDefault="00023670" w:rsidP="00A06364">
            <w:pPr>
              <w:contextualSpacing/>
              <w:jc w:val="center"/>
            </w:pPr>
            <w:r>
              <w:t>2.25</w:t>
            </w:r>
          </w:p>
        </w:tc>
        <w:tc>
          <w:tcPr>
            <w:tcW w:w="993" w:type="dxa"/>
            <w:shd w:val="clear" w:color="auto" w:fill="D9D9D9" w:themeFill="background1" w:themeFillShade="D9"/>
          </w:tcPr>
          <w:p w14:paraId="2E6A9EBC" w14:textId="77777777" w:rsidR="003D686E" w:rsidRDefault="005E268C" w:rsidP="00A06364">
            <w:pPr>
              <w:contextualSpacing/>
              <w:jc w:val="center"/>
            </w:pPr>
            <w:r>
              <w:t>0.15</w:t>
            </w:r>
          </w:p>
        </w:tc>
        <w:tc>
          <w:tcPr>
            <w:tcW w:w="1344" w:type="dxa"/>
            <w:shd w:val="clear" w:color="auto" w:fill="auto"/>
          </w:tcPr>
          <w:p w14:paraId="4B5869AA" w14:textId="77777777" w:rsidR="003D686E" w:rsidRPr="00A45238" w:rsidRDefault="003D686E" w:rsidP="00A06364">
            <w:pPr>
              <w:contextualSpacing/>
              <w:jc w:val="center"/>
            </w:pPr>
            <w:r>
              <w:t>2.18</w:t>
            </w:r>
          </w:p>
        </w:tc>
        <w:tc>
          <w:tcPr>
            <w:tcW w:w="1320" w:type="dxa"/>
            <w:shd w:val="clear" w:color="auto" w:fill="auto"/>
          </w:tcPr>
          <w:p w14:paraId="19DA70A8" w14:textId="77777777" w:rsidR="003D686E" w:rsidRPr="00A45238" w:rsidRDefault="003D686E" w:rsidP="00A06364">
            <w:pPr>
              <w:contextualSpacing/>
              <w:jc w:val="center"/>
            </w:pPr>
            <w:r>
              <w:t>2.48</w:t>
            </w:r>
          </w:p>
        </w:tc>
        <w:tc>
          <w:tcPr>
            <w:tcW w:w="992" w:type="dxa"/>
            <w:shd w:val="clear" w:color="auto" w:fill="D9D9D9" w:themeFill="background1" w:themeFillShade="D9"/>
          </w:tcPr>
          <w:p w14:paraId="6C20A4F6" w14:textId="77777777" w:rsidR="003D686E" w:rsidRPr="00A45238" w:rsidRDefault="003D686E" w:rsidP="00A06364">
            <w:pPr>
              <w:contextualSpacing/>
              <w:jc w:val="center"/>
            </w:pPr>
            <w:r>
              <w:t>0.30</w:t>
            </w:r>
          </w:p>
        </w:tc>
        <w:tc>
          <w:tcPr>
            <w:tcW w:w="1324" w:type="dxa"/>
            <w:shd w:val="clear" w:color="auto" w:fill="auto"/>
          </w:tcPr>
          <w:p w14:paraId="3B655998" w14:textId="77777777" w:rsidR="003D686E" w:rsidRPr="00A45238" w:rsidRDefault="00AC60DC" w:rsidP="00A06364">
            <w:pPr>
              <w:contextualSpacing/>
              <w:jc w:val="center"/>
            </w:pPr>
            <w:r>
              <w:t>2.62</w:t>
            </w:r>
          </w:p>
        </w:tc>
        <w:tc>
          <w:tcPr>
            <w:tcW w:w="969" w:type="dxa"/>
            <w:shd w:val="clear" w:color="auto" w:fill="D9D9D9" w:themeFill="background1" w:themeFillShade="D9"/>
          </w:tcPr>
          <w:p w14:paraId="3A2AE92C" w14:textId="77777777" w:rsidR="003D686E" w:rsidRDefault="005C0F95" w:rsidP="00A06364">
            <w:pPr>
              <w:contextualSpacing/>
              <w:jc w:val="center"/>
            </w:pPr>
            <w:r>
              <w:t>0.14/</w:t>
            </w:r>
          </w:p>
          <w:p w14:paraId="1B40055E" w14:textId="77777777" w:rsidR="005C0F95" w:rsidRPr="00A45238" w:rsidRDefault="005C0F95" w:rsidP="00A06364">
            <w:pPr>
              <w:contextualSpacing/>
              <w:jc w:val="center"/>
            </w:pPr>
            <w:r>
              <w:t>0.44</w:t>
            </w:r>
          </w:p>
        </w:tc>
      </w:tr>
      <w:tr w:rsidR="003D686E" w14:paraId="22344FE1" w14:textId="77777777" w:rsidTr="0088745D">
        <w:trPr>
          <w:jc w:val="center"/>
        </w:trPr>
        <w:tc>
          <w:tcPr>
            <w:tcW w:w="1975" w:type="dxa"/>
            <w:shd w:val="clear" w:color="auto" w:fill="auto"/>
          </w:tcPr>
          <w:p w14:paraId="5456DF04" w14:textId="77777777" w:rsidR="003D686E" w:rsidRDefault="003D686E" w:rsidP="00A06364">
            <w:pPr>
              <w:contextualSpacing/>
            </w:pPr>
            <w:r w:rsidRPr="00A96E76">
              <w:t>E. Teachers work collaboratively with the families and significant adults in the lives of their students.</w:t>
            </w:r>
          </w:p>
        </w:tc>
        <w:tc>
          <w:tcPr>
            <w:tcW w:w="1345" w:type="dxa"/>
            <w:gridSpan w:val="2"/>
            <w:shd w:val="clear" w:color="auto" w:fill="auto"/>
          </w:tcPr>
          <w:p w14:paraId="23B6867B" w14:textId="77777777" w:rsidR="003D686E" w:rsidRPr="00A45238" w:rsidRDefault="00023670" w:rsidP="00A06364">
            <w:pPr>
              <w:contextualSpacing/>
              <w:jc w:val="center"/>
            </w:pPr>
            <w:r>
              <w:t>2.02</w:t>
            </w:r>
          </w:p>
        </w:tc>
        <w:tc>
          <w:tcPr>
            <w:tcW w:w="1344" w:type="dxa"/>
            <w:shd w:val="clear" w:color="auto" w:fill="auto"/>
          </w:tcPr>
          <w:p w14:paraId="2C51E7FD" w14:textId="77777777" w:rsidR="003D686E" w:rsidRPr="00A45238" w:rsidRDefault="003D686E" w:rsidP="00A06364">
            <w:pPr>
              <w:contextualSpacing/>
              <w:jc w:val="center"/>
            </w:pPr>
            <w:r>
              <w:t>2.19</w:t>
            </w:r>
          </w:p>
        </w:tc>
        <w:tc>
          <w:tcPr>
            <w:tcW w:w="1344" w:type="dxa"/>
            <w:shd w:val="clear" w:color="auto" w:fill="auto"/>
          </w:tcPr>
          <w:p w14:paraId="5D3D9D70" w14:textId="77777777" w:rsidR="003D686E" w:rsidRPr="00A45238" w:rsidRDefault="00023670" w:rsidP="00A06364">
            <w:pPr>
              <w:contextualSpacing/>
              <w:jc w:val="center"/>
            </w:pPr>
            <w:r>
              <w:t>2.34</w:t>
            </w:r>
          </w:p>
        </w:tc>
        <w:tc>
          <w:tcPr>
            <w:tcW w:w="993" w:type="dxa"/>
            <w:shd w:val="clear" w:color="auto" w:fill="D9D9D9" w:themeFill="background1" w:themeFillShade="D9"/>
          </w:tcPr>
          <w:p w14:paraId="1FCDCB4C" w14:textId="77777777" w:rsidR="003D686E" w:rsidRDefault="005E268C" w:rsidP="00A06364">
            <w:pPr>
              <w:contextualSpacing/>
              <w:jc w:val="center"/>
            </w:pPr>
            <w:r>
              <w:t>0.15</w:t>
            </w:r>
          </w:p>
        </w:tc>
        <w:tc>
          <w:tcPr>
            <w:tcW w:w="1344" w:type="dxa"/>
            <w:shd w:val="clear" w:color="auto" w:fill="auto"/>
          </w:tcPr>
          <w:p w14:paraId="34FCF4E2" w14:textId="77777777" w:rsidR="003D686E" w:rsidRPr="00A45238" w:rsidRDefault="003D686E" w:rsidP="00A06364">
            <w:pPr>
              <w:contextualSpacing/>
              <w:jc w:val="center"/>
            </w:pPr>
            <w:r>
              <w:t>2.21</w:t>
            </w:r>
          </w:p>
        </w:tc>
        <w:tc>
          <w:tcPr>
            <w:tcW w:w="1320" w:type="dxa"/>
            <w:shd w:val="clear" w:color="auto" w:fill="auto"/>
          </w:tcPr>
          <w:p w14:paraId="674B4682" w14:textId="77777777" w:rsidR="003D686E" w:rsidRPr="00A45238" w:rsidRDefault="003D686E" w:rsidP="00A06364">
            <w:pPr>
              <w:contextualSpacing/>
              <w:jc w:val="center"/>
            </w:pPr>
            <w:r>
              <w:t>2.71</w:t>
            </w:r>
          </w:p>
        </w:tc>
        <w:tc>
          <w:tcPr>
            <w:tcW w:w="992" w:type="dxa"/>
            <w:shd w:val="clear" w:color="auto" w:fill="D9D9D9" w:themeFill="background1" w:themeFillShade="D9"/>
          </w:tcPr>
          <w:p w14:paraId="4DDCE336" w14:textId="77777777" w:rsidR="003D686E" w:rsidRPr="00A45238" w:rsidRDefault="003D686E" w:rsidP="00A06364">
            <w:pPr>
              <w:contextualSpacing/>
              <w:jc w:val="center"/>
            </w:pPr>
            <w:r>
              <w:t>0.50</w:t>
            </w:r>
          </w:p>
        </w:tc>
        <w:tc>
          <w:tcPr>
            <w:tcW w:w="1324" w:type="dxa"/>
            <w:shd w:val="clear" w:color="auto" w:fill="auto"/>
          </w:tcPr>
          <w:p w14:paraId="2E055D5E" w14:textId="77777777" w:rsidR="003D686E" w:rsidRPr="00A45238" w:rsidRDefault="00AC60DC" w:rsidP="00A06364">
            <w:pPr>
              <w:contextualSpacing/>
              <w:jc w:val="center"/>
            </w:pPr>
            <w:r>
              <w:t>2.54</w:t>
            </w:r>
          </w:p>
        </w:tc>
        <w:tc>
          <w:tcPr>
            <w:tcW w:w="969" w:type="dxa"/>
            <w:shd w:val="clear" w:color="auto" w:fill="D9D9D9" w:themeFill="background1" w:themeFillShade="D9"/>
          </w:tcPr>
          <w:p w14:paraId="1EDBB551" w14:textId="77777777" w:rsidR="005C0F95" w:rsidRDefault="005C0F95" w:rsidP="005C0F95">
            <w:pPr>
              <w:contextualSpacing/>
              <w:jc w:val="center"/>
            </w:pPr>
            <w:r>
              <w:t>-0.17/</w:t>
            </w:r>
          </w:p>
          <w:p w14:paraId="6DC7B9EB" w14:textId="77777777" w:rsidR="005C0F95" w:rsidRPr="00A45238" w:rsidRDefault="005C0F95" w:rsidP="005C0F95">
            <w:pPr>
              <w:contextualSpacing/>
              <w:jc w:val="center"/>
            </w:pPr>
            <w:r>
              <w:t>0.33</w:t>
            </w:r>
          </w:p>
        </w:tc>
      </w:tr>
      <w:tr w:rsidR="003D686E" w14:paraId="40B469D6" w14:textId="77777777" w:rsidTr="0088745D">
        <w:trPr>
          <w:jc w:val="center"/>
        </w:trPr>
        <w:tc>
          <w:tcPr>
            <w:tcW w:w="1975" w:type="dxa"/>
            <w:shd w:val="clear" w:color="auto" w:fill="auto"/>
          </w:tcPr>
          <w:p w14:paraId="4BE9269B" w14:textId="77777777" w:rsidR="003D686E" w:rsidRDefault="003D686E" w:rsidP="00A06364">
            <w:pPr>
              <w:contextualSpacing/>
            </w:pPr>
            <w:r>
              <w:t>Overall rating for Teachers Establish Respectful Environment</w:t>
            </w:r>
          </w:p>
        </w:tc>
        <w:tc>
          <w:tcPr>
            <w:tcW w:w="1345" w:type="dxa"/>
            <w:gridSpan w:val="2"/>
            <w:shd w:val="clear" w:color="auto" w:fill="auto"/>
          </w:tcPr>
          <w:p w14:paraId="4A7AE72B" w14:textId="77777777" w:rsidR="003D686E" w:rsidRPr="00A45238" w:rsidRDefault="00023670" w:rsidP="00A06364">
            <w:pPr>
              <w:contextualSpacing/>
              <w:jc w:val="center"/>
            </w:pPr>
            <w:r>
              <w:t>2.19</w:t>
            </w:r>
          </w:p>
        </w:tc>
        <w:tc>
          <w:tcPr>
            <w:tcW w:w="1344" w:type="dxa"/>
            <w:shd w:val="clear" w:color="auto" w:fill="auto"/>
          </w:tcPr>
          <w:p w14:paraId="680334CF" w14:textId="77777777" w:rsidR="003D686E" w:rsidRPr="00A45238" w:rsidRDefault="003D686E" w:rsidP="00A06364">
            <w:pPr>
              <w:contextualSpacing/>
              <w:jc w:val="center"/>
            </w:pPr>
            <w:r>
              <w:t>2.17</w:t>
            </w:r>
          </w:p>
        </w:tc>
        <w:tc>
          <w:tcPr>
            <w:tcW w:w="1344" w:type="dxa"/>
            <w:shd w:val="clear" w:color="auto" w:fill="auto"/>
          </w:tcPr>
          <w:p w14:paraId="5E0DE162" w14:textId="77777777" w:rsidR="003D686E" w:rsidRPr="00A45238" w:rsidRDefault="00023670" w:rsidP="00A06364">
            <w:pPr>
              <w:contextualSpacing/>
              <w:jc w:val="center"/>
            </w:pPr>
            <w:r>
              <w:t>2.50</w:t>
            </w:r>
          </w:p>
        </w:tc>
        <w:tc>
          <w:tcPr>
            <w:tcW w:w="993" w:type="dxa"/>
            <w:shd w:val="clear" w:color="auto" w:fill="D9D9D9" w:themeFill="background1" w:themeFillShade="D9"/>
          </w:tcPr>
          <w:p w14:paraId="558C53ED" w14:textId="77777777" w:rsidR="003D686E" w:rsidRDefault="005E268C" w:rsidP="00A06364">
            <w:pPr>
              <w:contextualSpacing/>
              <w:jc w:val="center"/>
            </w:pPr>
            <w:r>
              <w:t>0.33</w:t>
            </w:r>
          </w:p>
        </w:tc>
        <w:tc>
          <w:tcPr>
            <w:tcW w:w="1344" w:type="dxa"/>
            <w:shd w:val="clear" w:color="auto" w:fill="auto"/>
          </w:tcPr>
          <w:p w14:paraId="037C9773" w14:textId="77777777" w:rsidR="003D686E" w:rsidRPr="00A45238" w:rsidRDefault="003D686E" w:rsidP="00A06364">
            <w:pPr>
              <w:contextualSpacing/>
              <w:jc w:val="center"/>
            </w:pPr>
            <w:r>
              <w:t>2.24</w:t>
            </w:r>
          </w:p>
        </w:tc>
        <w:tc>
          <w:tcPr>
            <w:tcW w:w="1320" w:type="dxa"/>
            <w:shd w:val="clear" w:color="auto" w:fill="auto"/>
          </w:tcPr>
          <w:p w14:paraId="5DCABCEA" w14:textId="77777777" w:rsidR="003D686E" w:rsidRPr="00A45238" w:rsidRDefault="003D686E" w:rsidP="00A06364">
            <w:pPr>
              <w:contextualSpacing/>
              <w:jc w:val="center"/>
            </w:pPr>
            <w:r>
              <w:t>2.68</w:t>
            </w:r>
          </w:p>
        </w:tc>
        <w:tc>
          <w:tcPr>
            <w:tcW w:w="992" w:type="dxa"/>
            <w:shd w:val="clear" w:color="auto" w:fill="D9D9D9" w:themeFill="background1" w:themeFillShade="D9"/>
          </w:tcPr>
          <w:p w14:paraId="45BE484E" w14:textId="77777777" w:rsidR="003D686E" w:rsidRPr="00A45238" w:rsidRDefault="003D686E" w:rsidP="00A06364">
            <w:pPr>
              <w:contextualSpacing/>
              <w:jc w:val="center"/>
            </w:pPr>
            <w:r>
              <w:t>0.44</w:t>
            </w:r>
          </w:p>
        </w:tc>
        <w:tc>
          <w:tcPr>
            <w:tcW w:w="1324" w:type="dxa"/>
            <w:shd w:val="clear" w:color="auto" w:fill="auto"/>
          </w:tcPr>
          <w:p w14:paraId="2FE8B65F" w14:textId="77777777" w:rsidR="003D686E" w:rsidRPr="00A45238" w:rsidRDefault="00AC60DC" w:rsidP="00A06364">
            <w:pPr>
              <w:contextualSpacing/>
              <w:jc w:val="center"/>
            </w:pPr>
            <w:r>
              <w:t>2.77</w:t>
            </w:r>
          </w:p>
        </w:tc>
        <w:tc>
          <w:tcPr>
            <w:tcW w:w="969" w:type="dxa"/>
            <w:shd w:val="clear" w:color="auto" w:fill="D9D9D9" w:themeFill="background1" w:themeFillShade="D9"/>
          </w:tcPr>
          <w:p w14:paraId="0DA932C8" w14:textId="77777777" w:rsidR="003D686E" w:rsidRDefault="005C0F95" w:rsidP="00A06364">
            <w:pPr>
              <w:contextualSpacing/>
              <w:jc w:val="center"/>
            </w:pPr>
            <w:r>
              <w:t>0.09/</w:t>
            </w:r>
          </w:p>
          <w:p w14:paraId="2F0DD516" w14:textId="77777777" w:rsidR="005C0F95" w:rsidRPr="00A45238" w:rsidRDefault="005C0F95" w:rsidP="00A06364">
            <w:pPr>
              <w:contextualSpacing/>
              <w:jc w:val="center"/>
            </w:pPr>
            <w:r>
              <w:t>0.53</w:t>
            </w:r>
          </w:p>
        </w:tc>
      </w:tr>
      <w:tr w:rsidR="00AC60DC" w14:paraId="7896976C" w14:textId="77777777" w:rsidTr="00863CAC">
        <w:trPr>
          <w:jc w:val="center"/>
        </w:trPr>
        <w:tc>
          <w:tcPr>
            <w:tcW w:w="12950" w:type="dxa"/>
            <w:gridSpan w:val="11"/>
            <w:shd w:val="clear" w:color="auto" w:fill="A6A6A6" w:themeFill="background1" w:themeFillShade="A6"/>
          </w:tcPr>
          <w:p w14:paraId="644CFD19" w14:textId="77777777" w:rsidR="00AC60DC" w:rsidRPr="00A96E76" w:rsidRDefault="00AC60DC" w:rsidP="005C0F95">
            <w:pPr>
              <w:contextualSpacing/>
              <w:rPr>
                <w:b/>
              </w:rPr>
            </w:pPr>
            <w:r>
              <w:br w:type="page"/>
            </w:r>
            <w:r>
              <w:br w:type="page"/>
            </w:r>
            <w:r w:rsidRPr="00A96E76">
              <w:rPr>
                <w:b/>
              </w:rPr>
              <w:t>Standard 3: Teachers know the content they teach</w:t>
            </w:r>
          </w:p>
        </w:tc>
      </w:tr>
      <w:tr w:rsidR="00023670" w14:paraId="67EC000A" w14:textId="77777777" w:rsidTr="0088745D">
        <w:trPr>
          <w:jc w:val="center"/>
        </w:trPr>
        <w:tc>
          <w:tcPr>
            <w:tcW w:w="1981" w:type="dxa"/>
            <w:gridSpan w:val="2"/>
            <w:shd w:val="clear" w:color="auto" w:fill="auto"/>
          </w:tcPr>
          <w:p w14:paraId="443C074A" w14:textId="77777777" w:rsidR="00AC60DC" w:rsidRDefault="00AC60DC" w:rsidP="00A06364">
            <w:pPr>
              <w:contextualSpacing/>
            </w:pPr>
            <w:r w:rsidRPr="00A96E76">
              <w:lastRenderedPageBreak/>
              <w:t>A. Teachers align their instruction with the state standards and district approved curriculum.</w:t>
            </w:r>
          </w:p>
        </w:tc>
        <w:tc>
          <w:tcPr>
            <w:tcW w:w="1339" w:type="dxa"/>
            <w:shd w:val="clear" w:color="auto" w:fill="auto"/>
          </w:tcPr>
          <w:p w14:paraId="4DF081DE" w14:textId="77777777" w:rsidR="00AC60DC" w:rsidRPr="00A45238" w:rsidRDefault="00023670" w:rsidP="00A06364">
            <w:pPr>
              <w:contextualSpacing/>
              <w:jc w:val="center"/>
            </w:pPr>
            <w:r>
              <w:t>2.02</w:t>
            </w:r>
          </w:p>
        </w:tc>
        <w:tc>
          <w:tcPr>
            <w:tcW w:w="1344" w:type="dxa"/>
            <w:shd w:val="clear" w:color="auto" w:fill="auto"/>
          </w:tcPr>
          <w:p w14:paraId="1EB2EF47" w14:textId="77777777" w:rsidR="00AC60DC" w:rsidRPr="00A45238" w:rsidRDefault="00AC60DC" w:rsidP="00A06364">
            <w:pPr>
              <w:contextualSpacing/>
              <w:jc w:val="center"/>
            </w:pPr>
            <w:r>
              <w:t>1.93</w:t>
            </w:r>
          </w:p>
        </w:tc>
        <w:tc>
          <w:tcPr>
            <w:tcW w:w="1344" w:type="dxa"/>
            <w:shd w:val="clear" w:color="auto" w:fill="auto"/>
          </w:tcPr>
          <w:p w14:paraId="51923129" w14:textId="77777777" w:rsidR="00AC60DC" w:rsidRPr="00A45238" w:rsidRDefault="00023670" w:rsidP="00A06364">
            <w:pPr>
              <w:contextualSpacing/>
              <w:jc w:val="center"/>
            </w:pPr>
            <w:r>
              <w:t>2.44</w:t>
            </w:r>
          </w:p>
        </w:tc>
        <w:tc>
          <w:tcPr>
            <w:tcW w:w="993" w:type="dxa"/>
            <w:shd w:val="clear" w:color="auto" w:fill="D9D9D9" w:themeFill="background1" w:themeFillShade="D9"/>
          </w:tcPr>
          <w:p w14:paraId="7074DED6" w14:textId="77777777" w:rsidR="00AC60DC" w:rsidRDefault="005E268C" w:rsidP="00A06364">
            <w:pPr>
              <w:contextualSpacing/>
              <w:jc w:val="center"/>
            </w:pPr>
            <w:r>
              <w:t>0.51</w:t>
            </w:r>
          </w:p>
        </w:tc>
        <w:tc>
          <w:tcPr>
            <w:tcW w:w="1344" w:type="dxa"/>
            <w:shd w:val="clear" w:color="auto" w:fill="auto"/>
          </w:tcPr>
          <w:p w14:paraId="4E95BBFD" w14:textId="77777777" w:rsidR="00AC60DC" w:rsidRPr="00A45238" w:rsidRDefault="00AC60DC" w:rsidP="00A06364">
            <w:pPr>
              <w:contextualSpacing/>
              <w:jc w:val="center"/>
            </w:pPr>
            <w:r>
              <w:t>2.06</w:t>
            </w:r>
          </w:p>
        </w:tc>
        <w:tc>
          <w:tcPr>
            <w:tcW w:w="1320" w:type="dxa"/>
            <w:shd w:val="clear" w:color="auto" w:fill="auto"/>
          </w:tcPr>
          <w:p w14:paraId="6159C9AD" w14:textId="77777777" w:rsidR="00AC60DC" w:rsidRPr="00A45238" w:rsidRDefault="00AC60DC" w:rsidP="00A06364">
            <w:pPr>
              <w:contextualSpacing/>
              <w:jc w:val="center"/>
            </w:pPr>
            <w:r>
              <w:t>2.48</w:t>
            </w:r>
          </w:p>
        </w:tc>
        <w:tc>
          <w:tcPr>
            <w:tcW w:w="992" w:type="dxa"/>
            <w:shd w:val="clear" w:color="auto" w:fill="D9D9D9" w:themeFill="background1" w:themeFillShade="D9"/>
          </w:tcPr>
          <w:p w14:paraId="4C9AD9D9" w14:textId="77777777" w:rsidR="00AC60DC" w:rsidRPr="00A45238" w:rsidRDefault="00AC60DC" w:rsidP="00A06364">
            <w:pPr>
              <w:contextualSpacing/>
              <w:jc w:val="center"/>
            </w:pPr>
            <w:r>
              <w:t>0.42</w:t>
            </w:r>
          </w:p>
        </w:tc>
        <w:tc>
          <w:tcPr>
            <w:tcW w:w="1324" w:type="dxa"/>
            <w:shd w:val="clear" w:color="auto" w:fill="auto"/>
          </w:tcPr>
          <w:p w14:paraId="6BA4382A" w14:textId="77777777" w:rsidR="00AC60DC" w:rsidRDefault="00AC60DC" w:rsidP="00A06364">
            <w:pPr>
              <w:contextualSpacing/>
              <w:jc w:val="center"/>
            </w:pPr>
            <w:r>
              <w:t>2.46</w:t>
            </w:r>
          </w:p>
          <w:p w14:paraId="160B9766" w14:textId="77777777" w:rsidR="00AC60DC" w:rsidRPr="00A45238" w:rsidRDefault="00AC60DC" w:rsidP="00A06364">
            <w:pPr>
              <w:contextualSpacing/>
              <w:jc w:val="center"/>
            </w:pPr>
          </w:p>
        </w:tc>
        <w:tc>
          <w:tcPr>
            <w:tcW w:w="969" w:type="dxa"/>
            <w:shd w:val="clear" w:color="auto" w:fill="D9D9D9" w:themeFill="background1" w:themeFillShade="D9"/>
          </w:tcPr>
          <w:p w14:paraId="55BBEC82" w14:textId="77777777" w:rsidR="00AC60DC" w:rsidRDefault="005C0F95" w:rsidP="00A06364">
            <w:pPr>
              <w:contextualSpacing/>
              <w:jc w:val="center"/>
            </w:pPr>
            <w:r>
              <w:t>-0.02/</w:t>
            </w:r>
          </w:p>
          <w:p w14:paraId="256D29DE" w14:textId="77777777" w:rsidR="005C0F95" w:rsidRPr="00A45238" w:rsidRDefault="005C0F95" w:rsidP="00A06364">
            <w:pPr>
              <w:contextualSpacing/>
              <w:jc w:val="center"/>
            </w:pPr>
            <w:r>
              <w:t>0.40</w:t>
            </w:r>
          </w:p>
        </w:tc>
      </w:tr>
      <w:tr w:rsidR="00023670" w14:paraId="312D8345" w14:textId="77777777" w:rsidTr="0088745D">
        <w:trPr>
          <w:jc w:val="center"/>
        </w:trPr>
        <w:tc>
          <w:tcPr>
            <w:tcW w:w="1981" w:type="dxa"/>
            <w:gridSpan w:val="2"/>
            <w:shd w:val="clear" w:color="auto" w:fill="auto"/>
          </w:tcPr>
          <w:p w14:paraId="63CA6A07" w14:textId="77777777" w:rsidR="00AC60DC" w:rsidRDefault="00AC60DC" w:rsidP="00A06364">
            <w:pPr>
              <w:contextualSpacing/>
            </w:pPr>
            <w:r w:rsidRPr="00A96E76">
              <w:t>B. Teachers know the content appropriate to their teaching specialty.</w:t>
            </w:r>
          </w:p>
        </w:tc>
        <w:tc>
          <w:tcPr>
            <w:tcW w:w="1339" w:type="dxa"/>
            <w:shd w:val="clear" w:color="auto" w:fill="auto"/>
          </w:tcPr>
          <w:p w14:paraId="67528C0C" w14:textId="77777777" w:rsidR="00AC60DC" w:rsidRPr="00A45238" w:rsidRDefault="00023670" w:rsidP="00A06364">
            <w:pPr>
              <w:contextualSpacing/>
              <w:jc w:val="center"/>
            </w:pPr>
            <w:r>
              <w:t>2.09</w:t>
            </w:r>
          </w:p>
        </w:tc>
        <w:tc>
          <w:tcPr>
            <w:tcW w:w="1344" w:type="dxa"/>
            <w:shd w:val="clear" w:color="auto" w:fill="auto"/>
          </w:tcPr>
          <w:p w14:paraId="64D38BB6" w14:textId="77777777" w:rsidR="00AC60DC" w:rsidRPr="00A45238" w:rsidRDefault="00AC60DC" w:rsidP="00A06364">
            <w:pPr>
              <w:contextualSpacing/>
              <w:jc w:val="center"/>
            </w:pPr>
            <w:r>
              <w:t>2.14</w:t>
            </w:r>
          </w:p>
        </w:tc>
        <w:tc>
          <w:tcPr>
            <w:tcW w:w="1344" w:type="dxa"/>
            <w:shd w:val="clear" w:color="auto" w:fill="auto"/>
          </w:tcPr>
          <w:p w14:paraId="22A3BFC7" w14:textId="77777777" w:rsidR="00AC60DC" w:rsidRPr="00A45238" w:rsidRDefault="00023670" w:rsidP="00A06364">
            <w:pPr>
              <w:contextualSpacing/>
              <w:jc w:val="center"/>
            </w:pPr>
            <w:r>
              <w:t>2.47</w:t>
            </w:r>
          </w:p>
        </w:tc>
        <w:tc>
          <w:tcPr>
            <w:tcW w:w="993" w:type="dxa"/>
            <w:shd w:val="clear" w:color="auto" w:fill="D9D9D9" w:themeFill="background1" w:themeFillShade="D9"/>
          </w:tcPr>
          <w:p w14:paraId="7F00F607" w14:textId="77777777" w:rsidR="00AC60DC" w:rsidRDefault="005E268C" w:rsidP="00A06364">
            <w:pPr>
              <w:contextualSpacing/>
              <w:jc w:val="center"/>
            </w:pPr>
            <w:r>
              <w:t>0.33</w:t>
            </w:r>
          </w:p>
        </w:tc>
        <w:tc>
          <w:tcPr>
            <w:tcW w:w="1344" w:type="dxa"/>
            <w:shd w:val="clear" w:color="auto" w:fill="auto"/>
          </w:tcPr>
          <w:p w14:paraId="62EB6859" w14:textId="77777777" w:rsidR="00AC60DC" w:rsidRPr="00A45238" w:rsidRDefault="00AC60DC" w:rsidP="00A06364">
            <w:pPr>
              <w:contextualSpacing/>
              <w:jc w:val="center"/>
            </w:pPr>
            <w:r>
              <w:t>2.26</w:t>
            </w:r>
          </w:p>
        </w:tc>
        <w:tc>
          <w:tcPr>
            <w:tcW w:w="1320" w:type="dxa"/>
            <w:shd w:val="clear" w:color="auto" w:fill="auto"/>
          </w:tcPr>
          <w:p w14:paraId="7C0EF745" w14:textId="77777777" w:rsidR="00AC60DC" w:rsidRPr="00A45238" w:rsidRDefault="00AC60DC" w:rsidP="00A06364">
            <w:pPr>
              <w:contextualSpacing/>
              <w:jc w:val="center"/>
            </w:pPr>
            <w:r>
              <w:t>2.48</w:t>
            </w:r>
          </w:p>
        </w:tc>
        <w:tc>
          <w:tcPr>
            <w:tcW w:w="992" w:type="dxa"/>
            <w:shd w:val="clear" w:color="auto" w:fill="D9D9D9" w:themeFill="background1" w:themeFillShade="D9"/>
          </w:tcPr>
          <w:p w14:paraId="65310335" w14:textId="77777777" w:rsidR="00AC60DC" w:rsidRPr="00A45238" w:rsidRDefault="00AC60DC" w:rsidP="00A06364">
            <w:pPr>
              <w:contextualSpacing/>
              <w:jc w:val="center"/>
            </w:pPr>
            <w:r>
              <w:t>0.22</w:t>
            </w:r>
          </w:p>
        </w:tc>
        <w:tc>
          <w:tcPr>
            <w:tcW w:w="1324" w:type="dxa"/>
            <w:shd w:val="clear" w:color="auto" w:fill="auto"/>
          </w:tcPr>
          <w:p w14:paraId="2454ECE2" w14:textId="77777777" w:rsidR="00AC60DC" w:rsidRPr="00A45238" w:rsidRDefault="00AC60DC" w:rsidP="00A06364">
            <w:pPr>
              <w:contextualSpacing/>
              <w:jc w:val="center"/>
            </w:pPr>
            <w:r>
              <w:t>2.62</w:t>
            </w:r>
          </w:p>
        </w:tc>
        <w:tc>
          <w:tcPr>
            <w:tcW w:w="969" w:type="dxa"/>
            <w:shd w:val="clear" w:color="auto" w:fill="D9D9D9" w:themeFill="background1" w:themeFillShade="D9"/>
          </w:tcPr>
          <w:p w14:paraId="691071C4" w14:textId="77777777" w:rsidR="00AC60DC" w:rsidRDefault="005C0F95" w:rsidP="00A06364">
            <w:pPr>
              <w:contextualSpacing/>
              <w:jc w:val="center"/>
            </w:pPr>
            <w:r>
              <w:t>0.14/</w:t>
            </w:r>
          </w:p>
          <w:p w14:paraId="36E959F9" w14:textId="77777777" w:rsidR="005C0F95" w:rsidRPr="00A45238" w:rsidRDefault="005C0F95" w:rsidP="00A06364">
            <w:pPr>
              <w:contextualSpacing/>
              <w:jc w:val="center"/>
            </w:pPr>
            <w:r>
              <w:t>0.36</w:t>
            </w:r>
          </w:p>
        </w:tc>
      </w:tr>
      <w:tr w:rsidR="00023670" w14:paraId="2B8047C6" w14:textId="77777777" w:rsidTr="0088745D">
        <w:trPr>
          <w:jc w:val="center"/>
        </w:trPr>
        <w:tc>
          <w:tcPr>
            <w:tcW w:w="1981" w:type="dxa"/>
            <w:gridSpan w:val="2"/>
            <w:shd w:val="clear" w:color="auto" w:fill="auto"/>
          </w:tcPr>
          <w:p w14:paraId="3A11B16D" w14:textId="77777777" w:rsidR="00AC60DC" w:rsidRDefault="00AC60DC" w:rsidP="00A06364">
            <w:pPr>
              <w:contextualSpacing/>
            </w:pPr>
            <w:r w:rsidRPr="00A96E76">
              <w:t>C. Teachers recognize the interconnectedness of content areas/disciplines.</w:t>
            </w:r>
          </w:p>
        </w:tc>
        <w:tc>
          <w:tcPr>
            <w:tcW w:w="1339" w:type="dxa"/>
            <w:shd w:val="clear" w:color="auto" w:fill="auto"/>
          </w:tcPr>
          <w:p w14:paraId="53D087C0" w14:textId="77777777" w:rsidR="00AC60DC" w:rsidRPr="00A45238" w:rsidRDefault="00023670" w:rsidP="00A06364">
            <w:pPr>
              <w:contextualSpacing/>
              <w:jc w:val="center"/>
            </w:pPr>
            <w:r>
              <w:t>1.86</w:t>
            </w:r>
          </w:p>
        </w:tc>
        <w:tc>
          <w:tcPr>
            <w:tcW w:w="1344" w:type="dxa"/>
            <w:shd w:val="clear" w:color="auto" w:fill="auto"/>
          </w:tcPr>
          <w:p w14:paraId="01F4B2D6" w14:textId="77777777" w:rsidR="00AC60DC" w:rsidRPr="00A45238" w:rsidRDefault="00AC60DC" w:rsidP="00A06364">
            <w:pPr>
              <w:contextualSpacing/>
              <w:jc w:val="center"/>
            </w:pPr>
            <w:r>
              <w:t>1.88</w:t>
            </w:r>
          </w:p>
        </w:tc>
        <w:tc>
          <w:tcPr>
            <w:tcW w:w="1344" w:type="dxa"/>
            <w:shd w:val="clear" w:color="auto" w:fill="auto"/>
          </w:tcPr>
          <w:p w14:paraId="237D664E" w14:textId="77777777" w:rsidR="00AC60DC" w:rsidRPr="00A45238" w:rsidRDefault="00023670" w:rsidP="00A06364">
            <w:pPr>
              <w:contextualSpacing/>
              <w:jc w:val="center"/>
            </w:pPr>
            <w:r>
              <w:t>2.28</w:t>
            </w:r>
          </w:p>
        </w:tc>
        <w:tc>
          <w:tcPr>
            <w:tcW w:w="993" w:type="dxa"/>
            <w:shd w:val="clear" w:color="auto" w:fill="D9D9D9" w:themeFill="background1" w:themeFillShade="D9"/>
          </w:tcPr>
          <w:p w14:paraId="1CCA7869" w14:textId="77777777" w:rsidR="00AC60DC" w:rsidRDefault="005E268C" w:rsidP="00A06364">
            <w:pPr>
              <w:contextualSpacing/>
              <w:jc w:val="center"/>
            </w:pPr>
            <w:r>
              <w:t>0.40</w:t>
            </w:r>
          </w:p>
        </w:tc>
        <w:tc>
          <w:tcPr>
            <w:tcW w:w="1344" w:type="dxa"/>
            <w:shd w:val="clear" w:color="auto" w:fill="auto"/>
          </w:tcPr>
          <w:p w14:paraId="1E7A15DC" w14:textId="77777777" w:rsidR="00AC60DC" w:rsidRPr="00A45238" w:rsidRDefault="00AC60DC" w:rsidP="00A06364">
            <w:pPr>
              <w:contextualSpacing/>
              <w:jc w:val="center"/>
            </w:pPr>
            <w:r>
              <w:t>1.97</w:t>
            </w:r>
          </w:p>
        </w:tc>
        <w:tc>
          <w:tcPr>
            <w:tcW w:w="1320" w:type="dxa"/>
            <w:shd w:val="clear" w:color="auto" w:fill="auto"/>
          </w:tcPr>
          <w:p w14:paraId="4CA557DC" w14:textId="77777777" w:rsidR="00AC60DC" w:rsidRPr="00A45238" w:rsidRDefault="00AC60DC" w:rsidP="00A06364">
            <w:pPr>
              <w:contextualSpacing/>
              <w:jc w:val="center"/>
            </w:pPr>
            <w:r>
              <w:t>2.39</w:t>
            </w:r>
          </w:p>
        </w:tc>
        <w:tc>
          <w:tcPr>
            <w:tcW w:w="992" w:type="dxa"/>
            <w:shd w:val="clear" w:color="auto" w:fill="D9D9D9" w:themeFill="background1" w:themeFillShade="D9"/>
          </w:tcPr>
          <w:p w14:paraId="7E2882F0" w14:textId="77777777" w:rsidR="00AC60DC" w:rsidRPr="00A45238" w:rsidRDefault="00AC60DC" w:rsidP="00A06364">
            <w:pPr>
              <w:contextualSpacing/>
              <w:jc w:val="center"/>
            </w:pPr>
            <w:r>
              <w:t>0.42</w:t>
            </w:r>
          </w:p>
        </w:tc>
        <w:tc>
          <w:tcPr>
            <w:tcW w:w="1324" w:type="dxa"/>
            <w:shd w:val="clear" w:color="auto" w:fill="auto"/>
          </w:tcPr>
          <w:p w14:paraId="7334203A" w14:textId="77777777" w:rsidR="00AC60DC" w:rsidRPr="00A45238" w:rsidRDefault="00AC60DC" w:rsidP="00A06364">
            <w:pPr>
              <w:contextualSpacing/>
              <w:jc w:val="center"/>
            </w:pPr>
            <w:r>
              <w:t>2.31</w:t>
            </w:r>
          </w:p>
        </w:tc>
        <w:tc>
          <w:tcPr>
            <w:tcW w:w="969" w:type="dxa"/>
            <w:shd w:val="clear" w:color="auto" w:fill="D9D9D9" w:themeFill="background1" w:themeFillShade="D9"/>
          </w:tcPr>
          <w:p w14:paraId="31C558C4" w14:textId="77777777" w:rsidR="00AC60DC" w:rsidRDefault="005C0F95" w:rsidP="00A06364">
            <w:pPr>
              <w:contextualSpacing/>
              <w:jc w:val="center"/>
            </w:pPr>
            <w:r>
              <w:t>-0.08/</w:t>
            </w:r>
          </w:p>
          <w:p w14:paraId="7AEB2F3E" w14:textId="77777777" w:rsidR="005C0F95" w:rsidRPr="00A45238" w:rsidRDefault="005C0F95" w:rsidP="00A06364">
            <w:pPr>
              <w:contextualSpacing/>
              <w:jc w:val="center"/>
            </w:pPr>
            <w:r>
              <w:t>0.34</w:t>
            </w:r>
          </w:p>
        </w:tc>
      </w:tr>
      <w:tr w:rsidR="00023670" w14:paraId="2350CFBD" w14:textId="77777777" w:rsidTr="0088745D">
        <w:trPr>
          <w:jc w:val="center"/>
        </w:trPr>
        <w:tc>
          <w:tcPr>
            <w:tcW w:w="1981" w:type="dxa"/>
            <w:gridSpan w:val="2"/>
            <w:shd w:val="clear" w:color="auto" w:fill="auto"/>
          </w:tcPr>
          <w:p w14:paraId="734E4048" w14:textId="77777777" w:rsidR="00AC60DC" w:rsidRDefault="00AC60DC" w:rsidP="00A06364">
            <w:pPr>
              <w:contextualSpacing/>
            </w:pPr>
            <w:r w:rsidRPr="00A96E76">
              <w:t>D. Teachers make instruction relevant to students.</w:t>
            </w:r>
          </w:p>
        </w:tc>
        <w:tc>
          <w:tcPr>
            <w:tcW w:w="1339" w:type="dxa"/>
            <w:shd w:val="clear" w:color="auto" w:fill="auto"/>
          </w:tcPr>
          <w:p w14:paraId="1C0503B1" w14:textId="77777777" w:rsidR="00AC60DC" w:rsidRPr="00A45238" w:rsidRDefault="00023670" w:rsidP="00A06364">
            <w:pPr>
              <w:contextualSpacing/>
              <w:jc w:val="center"/>
            </w:pPr>
            <w:r>
              <w:t>1.84</w:t>
            </w:r>
          </w:p>
        </w:tc>
        <w:tc>
          <w:tcPr>
            <w:tcW w:w="1344" w:type="dxa"/>
            <w:shd w:val="clear" w:color="auto" w:fill="auto"/>
          </w:tcPr>
          <w:p w14:paraId="076B68C2" w14:textId="77777777" w:rsidR="00AC60DC" w:rsidRPr="00A45238" w:rsidRDefault="00AC60DC" w:rsidP="00A06364">
            <w:pPr>
              <w:contextualSpacing/>
              <w:jc w:val="center"/>
            </w:pPr>
            <w:r>
              <w:t>1.83</w:t>
            </w:r>
          </w:p>
        </w:tc>
        <w:tc>
          <w:tcPr>
            <w:tcW w:w="1344" w:type="dxa"/>
            <w:shd w:val="clear" w:color="auto" w:fill="auto"/>
          </w:tcPr>
          <w:p w14:paraId="3E9E8A95" w14:textId="77777777" w:rsidR="00AC60DC" w:rsidRPr="00A45238" w:rsidRDefault="00023670" w:rsidP="00A06364">
            <w:pPr>
              <w:contextualSpacing/>
              <w:jc w:val="center"/>
            </w:pPr>
            <w:r>
              <w:t>2.28</w:t>
            </w:r>
          </w:p>
        </w:tc>
        <w:tc>
          <w:tcPr>
            <w:tcW w:w="993" w:type="dxa"/>
            <w:shd w:val="clear" w:color="auto" w:fill="D9D9D9" w:themeFill="background1" w:themeFillShade="D9"/>
          </w:tcPr>
          <w:p w14:paraId="63374121" w14:textId="77777777" w:rsidR="00AC60DC" w:rsidRDefault="005E268C" w:rsidP="00A06364">
            <w:pPr>
              <w:contextualSpacing/>
              <w:jc w:val="center"/>
            </w:pPr>
            <w:r>
              <w:t>0.45</w:t>
            </w:r>
          </w:p>
        </w:tc>
        <w:tc>
          <w:tcPr>
            <w:tcW w:w="1344" w:type="dxa"/>
            <w:shd w:val="clear" w:color="auto" w:fill="auto"/>
          </w:tcPr>
          <w:p w14:paraId="59CA885F" w14:textId="77777777" w:rsidR="00AC60DC" w:rsidRPr="00A45238" w:rsidRDefault="00AC60DC" w:rsidP="00A06364">
            <w:pPr>
              <w:contextualSpacing/>
              <w:jc w:val="center"/>
            </w:pPr>
            <w:r>
              <w:t>2.06</w:t>
            </w:r>
          </w:p>
        </w:tc>
        <w:tc>
          <w:tcPr>
            <w:tcW w:w="1320" w:type="dxa"/>
            <w:shd w:val="clear" w:color="auto" w:fill="auto"/>
          </w:tcPr>
          <w:p w14:paraId="49DE883E" w14:textId="77777777" w:rsidR="00AC60DC" w:rsidRPr="00A45238" w:rsidRDefault="00AC60DC" w:rsidP="00A06364">
            <w:pPr>
              <w:contextualSpacing/>
              <w:jc w:val="center"/>
            </w:pPr>
            <w:r>
              <w:t>2.52</w:t>
            </w:r>
          </w:p>
        </w:tc>
        <w:tc>
          <w:tcPr>
            <w:tcW w:w="992" w:type="dxa"/>
            <w:shd w:val="clear" w:color="auto" w:fill="D9D9D9" w:themeFill="background1" w:themeFillShade="D9"/>
          </w:tcPr>
          <w:p w14:paraId="791D834B" w14:textId="77777777" w:rsidR="00AC60DC" w:rsidRPr="00A45238" w:rsidRDefault="00AC60DC" w:rsidP="00A06364">
            <w:pPr>
              <w:contextualSpacing/>
              <w:jc w:val="center"/>
            </w:pPr>
            <w:r>
              <w:t>0.46</w:t>
            </w:r>
          </w:p>
        </w:tc>
        <w:tc>
          <w:tcPr>
            <w:tcW w:w="1324" w:type="dxa"/>
            <w:shd w:val="clear" w:color="auto" w:fill="auto"/>
          </w:tcPr>
          <w:p w14:paraId="7C42CD1A" w14:textId="77777777" w:rsidR="00AC60DC" w:rsidRPr="00A45238" w:rsidRDefault="00AC60DC" w:rsidP="00A06364">
            <w:pPr>
              <w:contextualSpacing/>
              <w:jc w:val="center"/>
            </w:pPr>
            <w:r>
              <w:t>2.62</w:t>
            </w:r>
          </w:p>
        </w:tc>
        <w:tc>
          <w:tcPr>
            <w:tcW w:w="969" w:type="dxa"/>
            <w:shd w:val="clear" w:color="auto" w:fill="D9D9D9" w:themeFill="background1" w:themeFillShade="D9"/>
          </w:tcPr>
          <w:p w14:paraId="29C35E33" w14:textId="77777777" w:rsidR="00AC60DC" w:rsidRDefault="005C0F95" w:rsidP="00A06364">
            <w:pPr>
              <w:contextualSpacing/>
              <w:jc w:val="center"/>
            </w:pPr>
            <w:r>
              <w:t>0.10/</w:t>
            </w:r>
          </w:p>
          <w:p w14:paraId="470198D4" w14:textId="77777777" w:rsidR="005C0F95" w:rsidRPr="00A45238" w:rsidRDefault="005C0F95" w:rsidP="00A06364">
            <w:pPr>
              <w:contextualSpacing/>
              <w:jc w:val="center"/>
            </w:pPr>
            <w:r>
              <w:t>0.56</w:t>
            </w:r>
          </w:p>
        </w:tc>
      </w:tr>
      <w:tr w:rsidR="00023670" w14:paraId="489C7DA8" w14:textId="77777777" w:rsidTr="0088745D">
        <w:trPr>
          <w:jc w:val="center"/>
        </w:trPr>
        <w:tc>
          <w:tcPr>
            <w:tcW w:w="1981" w:type="dxa"/>
            <w:gridSpan w:val="2"/>
            <w:shd w:val="clear" w:color="auto" w:fill="auto"/>
          </w:tcPr>
          <w:p w14:paraId="6E3E4D84" w14:textId="77777777" w:rsidR="00AC60DC" w:rsidRDefault="00AC60DC" w:rsidP="00A06364">
            <w:pPr>
              <w:contextualSpacing/>
            </w:pPr>
            <w:r w:rsidRPr="00A96E76">
              <w:t>Overall rating for Know the Content They Teach</w:t>
            </w:r>
          </w:p>
        </w:tc>
        <w:tc>
          <w:tcPr>
            <w:tcW w:w="1339" w:type="dxa"/>
            <w:shd w:val="clear" w:color="auto" w:fill="auto"/>
          </w:tcPr>
          <w:p w14:paraId="6730A235" w14:textId="77777777" w:rsidR="00AC60DC" w:rsidRPr="00A45238" w:rsidRDefault="00023670" w:rsidP="00A06364">
            <w:pPr>
              <w:contextualSpacing/>
              <w:jc w:val="center"/>
            </w:pPr>
            <w:r>
              <w:t>1.91</w:t>
            </w:r>
          </w:p>
        </w:tc>
        <w:tc>
          <w:tcPr>
            <w:tcW w:w="1344" w:type="dxa"/>
            <w:shd w:val="clear" w:color="auto" w:fill="auto"/>
          </w:tcPr>
          <w:p w14:paraId="4FCBC2C4" w14:textId="77777777" w:rsidR="00AC60DC" w:rsidRPr="00A45238" w:rsidRDefault="00AC60DC" w:rsidP="00A06364">
            <w:pPr>
              <w:contextualSpacing/>
              <w:jc w:val="center"/>
            </w:pPr>
            <w:r>
              <w:t>1.88</w:t>
            </w:r>
          </w:p>
        </w:tc>
        <w:tc>
          <w:tcPr>
            <w:tcW w:w="1344" w:type="dxa"/>
            <w:shd w:val="clear" w:color="auto" w:fill="auto"/>
          </w:tcPr>
          <w:p w14:paraId="56FBA82D" w14:textId="77777777" w:rsidR="00AC60DC" w:rsidRPr="00A45238" w:rsidRDefault="00023670" w:rsidP="00A06364">
            <w:pPr>
              <w:contextualSpacing/>
              <w:jc w:val="center"/>
            </w:pPr>
            <w:r>
              <w:t>2.25</w:t>
            </w:r>
          </w:p>
        </w:tc>
        <w:tc>
          <w:tcPr>
            <w:tcW w:w="993" w:type="dxa"/>
            <w:shd w:val="clear" w:color="auto" w:fill="D9D9D9" w:themeFill="background1" w:themeFillShade="D9"/>
          </w:tcPr>
          <w:p w14:paraId="0F6FB16C" w14:textId="77777777" w:rsidR="00AC60DC" w:rsidRDefault="005E268C" w:rsidP="00A06364">
            <w:pPr>
              <w:contextualSpacing/>
              <w:jc w:val="center"/>
            </w:pPr>
            <w:r>
              <w:t>0.37</w:t>
            </w:r>
          </w:p>
        </w:tc>
        <w:tc>
          <w:tcPr>
            <w:tcW w:w="1344" w:type="dxa"/>
            <w:shd w:val="clear" w:color="auto" w:fill="auto"/>
          </w:tcPr>
          <w:p w14:paraId="4AF6455D" w14:textId="77777777" w:rsidR="00AC60DC" w:rsidRPr="00A45238" w:rsidRDefault="00AC60DC" w:rsidP="00A06364">
            <w:pPr>
              <w:contextualSpacing/>
              <w:jc w:val="center"/>
            </w:pPr>
            <w:r>
              <w:t>2.06</w:t>
            </w:r>
          </w:p>
        </w:tc>
        <w:tc>
          <w:tcPr>
            <w:tcW w:w="1320" w:type="dxa"/>
            <w:shd w:val="clear" w:color="auto" w:fill="auto"/>
          </w:tcPr>
          <w:p w14:paraId="64CFE569" w14:textId="77777777" w:rsidR="00AC60DC" w:rsidRPr="00A45238" w:rsidRDefault="00AC60DC" w:rsidP="00A06364">
            <w:pPr>
              <w:contextualSpacing/>
              <w:jc w:val="center"/>
            </w:pPr>
            <w:r>
              <w:t>2.35</w:t>
            </w:r>
          </w:p>
        </w:tc>
        <w:tc>
          <w:tcPr>
            <w:tcW w:w="992" w:type="dxa"/>
            <w:shd w:val="clear" w:color="auto" w:fill="D9D9D9" w:themeFill="background1" w:themeFillShade="D9"/>
          </w:tcPr>
          <w:p w14:paraId="16A0EB2D" w14:textId="77777777" w:rsidR="00AC60DC" w:rsidRPr="00A45238" w:rsidRDefault="00AC60DC" w:rsidP="00A06364">
            <w:pPr>
              <w:contextualSpacing/>
              <w:jc w:val="center"/>
            </w:pPr>
            <w:r>
              <w:t>0.29</w:t>
            </w:r>
          </w:p>
        </w:tc>
        <w:tc>
          <w:tcPr>
            <w:tcW w:w="1324" w:type="dxa"/>
            <w:shd w:val="clear" w:color="auto" w:fill="auto"/>
          </w:tcPr>
          <w:p w14:paraId="366AE4C1" w14:textId="77777777" w:rsidR="00AC60DC" w:rsidRPr="00A45238" w:rsidRDefault="00AC60DC" w:rsidP="00A06364">
            <w:pPr>
              <w:contextualSpacing/>
              <w:jc w:val="center"/>
            </w:pPr>
            <w:r>
              <w:t>2.38</w:t>
            </w:r>
          </w:p>
        </w:tc>
        <w:tc>
          <w:tcPr>
            <w:tcW w:w="969" w:type="dxa"/>
            <w:shd w:val="clear" w:color="auto" w:fill="D9D9D9" w:themeFill="background1" w:themeFillShade="D9"/>
          </w:tcPr>
          <w:p w14:paraId="3DD69DED" w14:textId="77777777" w:rsidR="00AC60DC" w:rsidRDefault="005C0F95" w:rsidP="00A06364">
            <w:pPr>
              <w:contextualSpacing/>
              <w:jc w:val="center"/>
            </w:pPr>
            <w:r>
              <w:t>0.03/</w:t>
            </w:r>
          </w:p>
          <w:p w14:paraId="6D755075" w14:textId="77777777" w:rsidR="005C0F95" w:rsidRPr="00A45238" w:rsidRDefault="005C0F95" w:rsidP="00A06364">
            <w:pPr>
              <w:contextualSpacing/>
              <w:jc w:val="center"/>
            </w:pPr>
            <w:r>
              <w:t>0.32</w:t>
            </w:r>
          </w:p>
        </w:tc>
      </w:tr>
      <w:tr w:rsidR="005C0F95" w14:paraId="6C4B8132" w14:textId="77777777" w:rsidTr="00933B6B">
        <w:trPr>
          <w:jc w:val="center"/>
        </w:trPr>
        <w:tc>
          <w:tcPr>
            <w:tcW w:w="12950" w:type="dxa"/>
            <w:gridSpan w:val="11"/>
            <w:shd w:val="clear" w:color="auto" w:fill="A6A6A6" w:themeFill="background1" w:themeFillShade="A6"/>
          </w:tcPr>
          <w:p w14:paraId="368D7843" w14:textId="77777777" w:rsidR="005C0F95" w:rsidRPr="00A96E76" w:rsidRDefault="005C0F95" w:rsidP="00C31DD1">
            <w:pPr>
              <w:contextualSpacing/>
              <w:rPr>
                <w:b/>
              </w:rPr>
            </w:pPr>
            <w:r w:rsidRPr="00A96E76">
              <w:rPr>
                <w:b/>
              </w:rPr>
              <w:t>Standard 4:  Teachers facilitate learning for their students</w:t>
            </w:r>
          </w:p>
        </w:tc>
      </w:tr>
      <w:tr w:rsidR="00023670" w14:paraId="4E2BF1CB" w14:textId="77777777" w:rsidTr="0088745D">
        <w:trPr>
          <w:jc w:val="center"/>
        </w:trPr>
        <w:tc>
          <w:tcPr>
            <w:tcW w:w="1981" w:type="dxa"/>
            <w:gridSpan w:val="2"/>
            <w:shd w:val="clear" w:color="auto" w:fill="auto"/>
          </w:tcPr>
          <w:p w14:paraId="27A859B8" w14:textId="77777777" w:rsidR="00AC60DC" w:rsidRDefault="00AC60DC" w:rsidP="00A06364">
            <w:pPr>
              <w:contextualSpacing/>
            </w:pPr>
            <w:r w:rsidRPr="00A96E76">
              <w:t>A. Teachers know the ways in which learning takes place, and they know the appropriate levels of intellectual, physical, social, and emotional development of their students.</w:t>
            </w:r>
          </w:p>
        </w:tc>
        <w:tc>
          <w:tcPr>
            <w:tcW w:w="1339" w:type="dxa"/>
            <w:shd w:val="clear" w:color="auto" w:fill="auto"/>
          </w:tcPr>
          <w:p w14:paraId="0086B9BF" w14:textId="77777777" w:rsidR="00AC60DC" w:rsidRPr="00A30C2D" w:rsidRDefault="00023670" w:rsidP="00A06364">
            <w:pPr>
              <w:contextualSpacing/>
              <w:jc w:val="center"/>
            </w:pPr>
            <w:r>
              <w:t>1.84</w:t>
            </w:r>
          </w:p>
        </w:tc>
        <w:tc>
          <w:tcPr>
            <w:tcW w:w="1344" w:type="dxa"/>
            <w:shd w:val="clear" w:color="auto" w:fill="auto"/>
          </w:tcPr>
          <w:p w14:paraId="4B9075F4" w14:textId="77777777" w:rsidR="00AC60DC" w:rsidRPr="00A30C2D" w:rsidRDefault="00AC60DC" w:rsidP="00A06364">
            <w:pPr>
              <w:contextualSpacing/>
              <w:jc w:val="center"/>
            </w:pPr>
            <w:r>
              <w:t>1.93</w:t>
            </w:r>
          </w:p>
        </w:tc>
        <w:tc>
          <w:tcPr>
            <w:tcW w:w="1344" w:type="dxa"/>
            <w:shd w:val="clear" w:color="auto" w:fill="auto"/>
          </w:tcPr>
          <w:p w14:paraId="0009F9DF" w14:textId="77777777" w:rsidR="00AC60DC" w:rsidRPr="00A30C2D" w:rsidRDefault="00023670" w:rsidP="00A06364">
            <w:pPr>
              <w:contextualSpacing/>
              <w:jc w:val="center"/>
            </w:pPr>
            <w:r>
              <w:t>2.19</w:t>
            </w:r>
          </w:p>
        </w:tc>
        <w:tc>
          <w:tcPr>
            <w:tcW w:w="993" w:type="dxa"/>
            <w:shd w:val="clear" w:color="auto" w:fill="D9D9D9" w:themeFill="background1" w:themeFillShade="D9"/>
          </w:tcPr>
          <w:p w14:paraId="19C391FE" w14:textId="77777777" w:rsidR="00AC60DC" w:rsidRDefault="005E268C" w:rsidP="00A06364">
            <w:pPr>
              <w:contextualSpacing/>
              <w:jc w:val="center"/>
            </w:pPr>
            <w:r>
              <w:t>0.26</w:t>
            </w:r>
          </w:p>
        </w:tc>
        <w:tc>
          <w:tcPr>
            <w:tcW w:w="1344" w:type="dxa"/>
            <w:shd w:val="clear" w:color="auto" w:fill="auto"/>
          </w:tcPr>
          <w:p w14:paraId="7EC476AB" w14:textId="77777777" w:rsidR="00AC60DC" w:rsidRPr="00A30C2D" w:rsidRDefault="00AC60DC" w:rsidP="00A06364">
            <w:pPr>
              <w:contextualSpacing/>
              <w:jc w:val="center"/>
            </w:pPr>
            <w:r>
              <w:t>2.06</w:t>
            </w:r>
          </w:p>
        </w:tc>
        <w:tc>
          <w:tcPr>
            <w:tcW w:w="1320" w:type="dxa"/>
            <w:shd w:val="clear" w:color="auto" w:fill="auto"/>
          </w:tcPr>
          <w:p w14:paraId="52096ADC" w14:textId="77777777" w:rsidR="00AC60DC" w:rsidRPr="00A30C2D" w:rsidRDefault="00AC60DC" w:rsidP="00A06364">
            <w:pPr>
              <w:contextualSpacing/>
              <w:jc w:val="center"/>
            </w:pPr>
            <w:r>
              <w:t>2.35</w:t>
            </w:r>
          </w:p>
        </w:tc>
        <w:tc>
          <w:tcPr>
            <w:tcW w:w="992" w:type="dxa"/>
            <w:shd w:val="clear" w:color="auto" w:fill="D9D9D9" w:themeFill="background1" w:themeFillShade="D9"/>
          </w:tcPr>
          <w:p w14:paraId="4E55618C" w14:textId="77777777" w:rsidR="00AC60DC" w:rsidRPr="00A30C2D" w:rsidRDefault="00AC60DC" w:rsidP="00A06364">
            <w:pPr>
              <w:contextualSpacing/>
              <w:jc w:val="center"/>
            </w:pPr>
            <w:r>
              <w:t>0.29</w:t>
            </w:r>
          </w:p>
        </w:tc>
        <w:tc>
          <w:tcPr>
            <w:tcW w:w="1324" w:type="dxa"/>
            <w:shd w:val="clear" w:color="auto" w:fill="auto"/>
          </w:tcPr>
          <w:p w14:paraId="3C8C19B7" w14:textId="77777777" w:rsidR="00AC60DC" w:rsidRPr="00A30C2D" w:rsidRDefault="00AC60DC" w:rsidP="00A06364">
            <w:pPr>
              <w:contextualSpacing/>
              <w:jc w:val="center"/>
            </w:pPr>
            <w:r>
              <w:t>2.38</w:t>
            </w:r>
          </w:p>
        </w:tc>
        <w:tc>
          <w:tcPr>
            <w:tcW w:w="969" w:type="dxa"/>
            <w:shd w:val="clear" w:color="auto" w:fill="D9D9D9" w:themeFill="background1" w:themeFillShade="D9"/>
          </w:tcPr>
          <w:p w14:paraId="65C363DC" w14:textId="77777777" w:rsidR="00AC60DC" w:rsidRDefault="005C0F95" w:rsidP="00A06364">
            <w:pPr>
              <w:contextualSpacing/>
              <w:jc w:val="center"/>
            </w:pPr>
            <w:r>
              <w:t>0.03/</w:t>
            </w:r>
          </w:p>
          <w:p w14:paraId="13DADBB9" w14:textId="77777777" w:rsidR="005C0F95" w:rsidRPr="00A30C2D" w:rsidRDefault="005C0F95" w:rsidP="00A06364">
            <w:pPr>
              <w:contextualSpacing/>
              <w:jc w:val="center"/>
            </w:pPr>
            <w:r>
              <w:t>0.32</w:t>
            </w:r>
          </w:p>
        </w:tc>
      </w:tr>
      <w:tr w:rsidR="00023670" w14:paraId="4C2DF3C8" w14:textId="77777777" w:rsidTr="0088745D">
        <w:trPr>
          <w:jc w:val="center"/>
        </w:trPr>
        <w:tc>
          <w:tcPr>
            <w:tcW w:w="1981" w:type="dxa"/>
            <w:gridSpan w:val="2"/>
            <w:shd w:val="clear" w:color="auto" w:fill="auto"/>
          </w:tcPr>
          <w:p w14:paraId="06E7CB52" w14:textId="77777777" w:rsidR="00AC60DC" w:rsidRDefault="00AC60DC" w:rsidP="00A06364">
            <w:pPr>
              <w:contextualSpacing/>
            </w:pPr>
            <w:r w:rsidRPr="00A96E76">
              <w:lastRenderedPageBreak/>
              <w:t>B. Teachers plan instruction appropriate for their students.</w:t>
            </w:r>
          </w:p>
        </w:tc>
        <w:tc>
          <w:tcPr>
            <w:tcW w:w="1339" w:type="dxa"/>
            <w:shd w:val="clear" w:color="auto" w:fill="auto"/>
          </w:tcPr>
          <w:p w14:paraId="056FC2B6" w14:textId="77777777" w:rsidR="00AC60DC" w:rsidRPr="00A30C2D" w:rsidRDefault="00023670" w:rsidP="00A06364">
            <w:pPr>
              <w:contextualSpacing/>
              <w:jc w:val="center"/>
            </w:pPr>
            <w:r>
              <w:t>2.09</w:t>
            </w:r>
          </w:p>
        </w:tc>
        <w:tc>
          <w:tcPr>
            <w:tcW w:w="1344" w:type="dxa"/>
            <w:shd w:val="clear" w:color="auto" w:fill="auto"/>
          </w:tcPr>
          <w:p w14:paraId="2B8D8341" w14:textId="77777777" w:rsidR="00AC60DC" w:rsidRPr="00A30C2D" w:rsidRDefault="00AC60DC" w:rsidP="00A06364">
            <w:pPr>
              <w:contextualSpacing/>
              <w:jc w:val="center"/>
            </w:pPr>
            <w:r>
              <w:t>2.26</w:t>
            </w:r>
          </w:p>
        </w:tc>
        <w:tc>
          <w:tcPr>
            <w:tcW w:w="1344" w:type="dxa"/>
            <w:shd w:val="clear" w:color="auto" w:fill="auto"/>
          </w:tcPr>
          <w:p w14:paraId="6EF124DC" w14:textId="77777777" w:rsidR="00AC60DC" w:rsidRPr="00A30C2D" w:rsidRDefault="00023670" w:rsidP="00A06364">
            <w:pPr>
              <w:contextualSpacing/>
              <w:jc w:val="center"/>
            </w:pPr>
            <w:r>
              <w:t>2.47</w:t>
            </w:r>
          </w:p>
        </w:tc>
        <w:tc>
          <w:tcPr>
            <w:tcW w:w="993" w:type="dxa"/>
            <w:shd w:val="clear" w:color="auto" w:fill="D9D9D9" w:themeFill="background1" w:themeFillShade="D9"/>
          </w:tcPr>
          <w:p w14:paraId="341FFA5E" w14:textId="77777777" w:rsidR="00AC60DC" w:rsidRDefault="005E268C" w:rsidP="00A06364">
            <w:pPr>
              <w:contextualSpacing/>
              <w:jc w:val="center"/>
            </w:pPr>
            <w:r>
              <w:t>0.21</w:t>
            </w:r>
          </w:p>
        </w:tc>
        <w:tc>
          <w:tcPr>
            <w:tcW w:w="1344" w:type="dxa"/>
            <w:shd w:val="clear" w:color="auto" w:fill="auto"/>
          </w:tcPr>
          <w:p w14:paraId="49D4B819" w14:textId="77777777" w:rsidR="00AC60DC" w:rsidRPr="00A30C2D" w:rsidRDefault="00AC60DC" w:rsidP="00A06364">
            <w:pPr>
              <w:contextualSpacing/>
              <w:jc w:val="center"/>
            </w:pPr>
            <w:r>
              <w:t>2.15</w:t>
            </w:r>
          </w:p>
        </w:tc>
        <w:tc>
          <w:tcPr>
            <w:tcW w:w="1320" w:type="dxa"/>
            <w:shd w:val="clear" w:color="auto" w:fill="auto"/>
          </w:tcPr>
          <w:p w14:paraId="00A769A8" w14:textId="77777777" w:rsidR="00AC60DC" w:rsidRPr="00A30C2D" w:rsidRDefault="00AC60DC" w:rsidP="00A06364">
            <w:pPr>
              <w:contextualSpacing/>
              <w:jc w:val="center"/>
            </w:pPr>
            <w:r>
              <w:t>2.55</w:t>
            </w:r>
          </w:p>
        </w:tc>
        <w:tc>
          <w:tcPr>
            <w:tcW w:w="992" w:type="dxa"/>
            <w:shd w:val="clear" w:color="auto" w:fill="D9D9D9" w:themeFill="background1" w:themeFillShade="D9"/>
          </w:tcPr>
          <w:p w14:paraId="318D0BF4" w14:textId="77777777" w:rsidR="00AC60DC" w:rsidRPr="00A30C2D" w:rsidRDefault="00AC60DC" w:rsidP="00A06364">
            <w:pPr>
              <w:contextualSpacing/>
              <w:jc w:val="center"/>
            </w:pPr>
            <w:r>
              <w:t>0.40</w:t>
            </w:r>
          </w:p>
        </w:tc>
        <w:tc>
          <w:tcPr>
            <w:tcW w:w="1324" w:type="dxa"/>
            <w:shd w:val="clear" w:color="auto" w:fill="auto"/>
          </w:tcPr>
          <w:p w14:paraId="0B1052C8" w14:textId="77777777" w:rsidR="00AC60DC" w:rsidRPr="00A30C2D" w:rsidRDefault="00AC60DC" w:rsidP="00A06364">
            <w:pPr>
              <w:contextualSpacing/>
              <w:jc w:val="center"/>
            </w:pPr>
            <w:r>
              <w:t>2.69</w:t>
            </w:r>
          </w:p>
        </w:tc>
        <w:tc>
          <w:tcPr>
            <w:tcW w:w="969" w:type="dxa"/>
            <w:shd w:val="clear" w:color="auto" w:fill="D9D9D9" w:themeFill="background1" w:themeFillShade="D9"/>
          </w:tcPr>
          <w:p w14:paraId="0C44780C" w14:textId="77777777" w:rsidR="00AC60DC" w:rsidRDefault="005C0F95" w:rsidP="00A06364">
            <w:pPr>
              <w:contextualSpacing/>
              <w:jc w:val="center"/>
            </w:pPr>
            <w:r>
              <w:t>0.14/</w:t>
            </w:r>
          </w:p>
          <w:p w14:paraId="39BE14BA" w14:textId="77777777" w:rsidR="005C0F95" w:rsidRPr="00A30C2D" w:rsidRDefault="005C0F95" w:rsidP="00A06364">
            <w:pPr>
              <w:contextualSpacing/>
              <w:jc w:val="center"/>
            </w:pPr>
            <w:r>
              <w:t>0.45</w:t>
            </w:r>
          </w:p>
        </w:tc>
      </w:tr>
      <w:tr w:rsidR="00023670" w14:paraId="1220AC4B" w14:textId="77777777" w:rsidTr="0088745D">
        <w:trPr>
          <w:jc w:val="center"/>
        </w:trPr>
        <w:tc>
          <w:tcPr>
            <w:tcW w:w="1981" w:type="dxa"/>
            <w:gridSpan w:val="2"/>
            <w:shd w:val="clear" w:color="auto" w:fill="auto"/>
          </w:tcPr>
          <w:p w14:paraId="19EE177A" w14:textId="77777777" w:rsidR="00AC60DC" w:rsidRDefault="00AC60DC" w:rsidP="00A06364">
            <w:pPr>
              <w:contextualSpacing/>
            </w:pPr>
            <w:r w:rsidRPr="00A96E76">
              <w:t>C. Teachers use a variety of instructional methods.</w:t>
            </w:r>
          </w:p>
        </w:tc>
        <w:tc>
          <w:tcPr>
            <w:tcW w:w="1339" w:type="dxa"/>
            <w:shd w:val="clear" w:color="auto" w:fill="auto"/>
          </w:tcPr>
          <w:p w14:paraId="5E07524D" w14:textId="77777777" w:rsidR="00AC60DC" w:rsidRPr="00A30C2D" w:rsidRDefault="00023670" w:rsidP="00A06364">
            <w:pPr>
              <w:contextualSpacing/>
              <w:jc w:val="center"/>
            </w:pPr>
            <w:r>
              <w:t>2.02</w:t>
            </w:r>
          </w:p>
        </w:tc>
        <w:tc>
          <w:tcPr>
            <w:tcW w:w="1344" w:type="dxa"/>
            <w:shd w:val="clear" w:color="auto" w:fill="auto"/>
          </w:tcPr>
          <w:p w14:paraId="59ED298A" w14:textId="77777777" w:rsidR="00AC60DC" w:rsidRPr="00A30C2D" w:rsidRDefault="00AC60DC" w:rsidP="00A06364">
            <w:pPr>
              <w:contextualSpacing/>
              <w:jc w:val="center"/>
            </w:pPr>
            <w:r>
              <w:t>1.95</w:t>
            </w:r>
          </w:p>
        </w:tc>
        <w:tc>
          <w:tcPr>
            <w:tcW w:w="1344" w:type="dxa"/>
            <w:shd w:val="clear" w:color="auto" w:fill="auto"/>
          </w:tcPr>
          <w:p w14:paraId="7A5F7D9A" w14:textId="77777777" w:rsidR="00AC60DC" w:rsidRPr="00A30C2D" w:rsidRDefault="00023670" w:rsidP="00A06364">
            <w:pPr>
              <w:contextualSpacing/>
              <w:jc w:val="center"/>
            </w:pPr>
            <w:r>
              <w:t>2.31</w:t>
            </w:r>
          </w:p>
        </w:tc>
        <w:tc>
          <w:tcPr>
            <w:tcW w:w="993" w:type="dxa"/>
            <w:shd w:val="clear" w:color="auto" w:fill="D9D9D9" w:themeFill="background1" w:themeFillShade="D9"/>
          </w:tcPr>
          <w:p w14:paraId="3C62816B" w14:textId="77777777" w:rsidR="00AC60DC" w:rsidRDefault="005E268C" w:rsidP="00A06364">
            <w:pPr>
              <w:contextualSpacing/>
              <w:jc w:val="center"/>
            </w:pPr>
            <w:r>
              <w:t>0.36</w:t>
            </w:r>
          </w:p>
        </w:tc>
        <w:tc>
          <w:tcPr>
            <w:tcW w:w="1344" w:type="dxa"/>
            <w:shd w:val="clear" w:color="auto" w:fill="auto"/>
          </w:tcPr>
          <w:p w14:paraId="2A0BC51B" w14:textId="77777777" w:rsidR="00AC60DC" w:rsidRPr="00A30C2D" w:rsidRDefault="00AC60DC" w:rsidP="00A06364">
            <w:pPr>
              <w:contextualSpacing/>
              <w:jc w:val="center"/>
            </w:pPr>
            <w:r>
              <w:t>2.18</w:t>
            </w:r>
          </w:p>
        </w:tc>
        <w:tc>
          <w:tcPr>
            <w:tcW w:w="1320" w:type="dxa"/>
            <w:shd w:val="clear" w:color="auto" w:fill="auto"/>
          </w:tcPr>
          <w:p w14:paraId="2095717B" w14:textId="77777777" w:rsidR="00AC60DC" w:rsidRPr="00A30C2D" w:rsidRDefault="00AC60DC" w:rsidP="00A06364">
            <w:pPr>
              <w:contextualSpacing/>
              <w:jc w:val="center"/>
            </w:pPr>
            <w:r>
              <w:t>2.52</w:t>
            </w:r>
          </w:p>
        </w:tc>
        <w:tc>
          <w:tcPr>
            <w:tcW w:w="992" w:type="dxa"/>
            <w:shd w:val="clear" w:color="auto" w:fill="D9D9D9" w:themeFill="background1" w:themeFillShade="D9"/>
          </w:tcPr>
          <w:p w14:paraId="202F38E7" w14:textId="77777777" w:rsidR="00AC60DC" w:rsidRPr="00A30C2D" w:rsidRDefault="00AC60DC" w:rsidP="00A06364">
            <w:pPr>
              <w:contextualSpacing/>
              <w:jc w:val="center"/>
            </w:pPr>
            <w:r>
              <w:t>0.07</w:t>
            </w:r>
          </w:p>
        </w:tc>
        <w:tc>
          <w:tcPr>
            <w:tcW w:w="1324" w:type="dxa"/>
            <w:shd w:val="clear" w:color="auto" w:fill="auto"/>
          </w:tcPr>
          <w:p w14:paraId="4EA6B8C1" w14:textId="77777777" w:rsidR="00AC60DC" w:rsidRPr="00A30C2D" w:rsidRDefault="00AC60DC" w:rsidP="00A06364">
            <w:pPr>
              <w:contextualSpacing/>
              <w:jc w:val="center"/>
            </w:pPr>
            <w:r>
              <w:t>2.46</w:t>
            </w:r>
          </w:p>
        </w:tc>
        <w:tc>
          <w:tcPr>
            <w:tcW w:w="969" w:type="dxa"/>
            <w:shd w:val="clear" w:color="auto" w:fill="D9D9D9" w:themeFill="background1" w:themeFillShade="D9"/>
          </w:tcPr>
          <w:p w14:paraId="6D0A9ED9" w14:textId="77777777" w:rsidR="00AC60DC" w:rsidRDefault="005C0F95" w:rsidP="00A06364">
            <w:pPr>
              <w:contextualSpacing/>
              <w:jc w:val="center"/>
            </w:pPr>
            <w:r>
              <w:t>-0.06/</w:t>
            </w:r>
          </w:p>
          <w:p w14:paraId="4B7CE9C3" w14:textId="77777777" w:rsidR="005C0F95" w:rsidRPr="00A30C2D" w:rsidRDefault="005C0F95" w:rsidP="00A06364">
            <w:pPr>
              <w:contextualSpacing/>
              <w:jc w:val="center"/>
            </w:pPr>
            <w:r>
              <w:t>0.28</w:t>
            </w:r>
          </w:p>
        </w:tc>
      </w:tr>
      <w:tr w:rsidR="00023670" w14:paraId="506B5CF6" w14:textId="77777777" w:rsidTr="0088745D">
        <w:trPr>
          <w:jc w:val="center"/>
        </w:trPr>
        <w:tc>
          <w:tcPr>
            <w:tcW w:w="1981" w:type="dxa"/>
            <w:gridSpan w:val="2"/>
            <w:shd w:val="clear" w:color="auto" w:fill="auto"/>
          </w:tcPr>
          <w:p w14:paraId="0A7E738B" w14:textId="77777777" w:rsidR="00AC60DC" w:rsidRDefault="00AC60DC" w:rsidP="00A06364">
            <w:pPr>
              <w:contextualSpacing/>
            </w:pPr>
            <w:r w:rsidRPr="00A96E76">
              <w:t>D. Teachers integrate and utilize technology in their instruction.</w:t>
            </w:r>
          </w:p>
        </w:tc>
        <w:tc>
          <w:tcPr>
            <w:tcW w:w="1339" w:type="dxa"/>
            <w:shd w:val="clear" w:color="auto" w:fill="auto"/>
          </w:tcPr>
          <w:p w14:paraId="30235B1D" w14:textId="77777777" w:rsidR="00AC60DC" w:rsidRPr="00A30C2D" w:rsidRDefault="00023670" w:rsidP="00A06364">
            <w:pPr>
              <w:contextualSpacing/>
              <w:jc w:val="center"/>
            </w:pPr>
            <w:r>
              <w:t>2.16</w:t>
            </w:r>
          </w:p>
        </w:tc>
        <w:tc>
          <w:tcPr>
            <w:tcW w:w="1344" w:type="dxa"/>
            <w:shd w:val="clear" w:color="auto" w:fill="auto"/>
          </w:tcPr>
          <w:p w14:paraId="576B232D" w14:textId="77777777" w:rsidR="00AC60DC" w:rsidRPr="00A30C2D" w:rsidRDefault="00AC60DC" w:rsidP="00A06364">
            <w:pPr>
              <w:contextualSpacing/>
              <w:jc w:val="center"/>
            </w:pPr>
            <w:r>
              <w:t>2.24</w:t>
            </w:r>
          </w:p>
        </w:tc>
        <w:tc>
          <w:tcPr>
            <w:tcW w:w="1344" w:type="dxa"/>
            <w:shd w:val="clear" w:color="auto" w:fill="auto"/>
          </w:tcPr>
          <w:p w14:paraId="443165AA" w14:textId="77777777" w:rsidR="00AC60DC" w:rsidRPr="00A30C2D" w:rsidRDefault="00023670" w:rsidP="00A06364">
            <w:pPr>
              <w:contextualSpacing/>
              <w:jc w:val="center"/>
            </w:pPr>
            <w:r>
              <w:t>2.22</w:t>
            </w:r>
          </w:p>
        </w:tc>
        <w:tc>
          <w:tcPr>
            <w:tcW w:w="993" w:type="dxa"/>
            <w:shd w:val="clear" w:color="auto" w:fill="D9D9D9" w:themeFill="background1" w:themeFillShade="D9"/>
          </w:tcPr>
          <w:p w14:paraId="36160F50" w14:textId="77777777" w:rsidR="00AC60DC" w:rsidRDefault="005E268C" w:rsidP="00A06364">
            <w:pPr>
              <w:contextualSpacing/>
              <w:jc w:val="center"/>
            </w:pPr>
            <w:r>
              <w:t>-0.02</w:t>
            </w:r>
          </w:p>
        </w:tc>
        <w:tc>
          <w:tcPr>
            <w:tcW w:w="1344" w:type="dxa"/>
            <w:shd w:val="clear" w:color="auto" w:fill="auto"/>
          </w:tcPr>
          <w:p w14:paraId="075640C4" w14:textId="77777777" w:rsidR="00AC60DC" w:rsidRPr="00A30C2D" w:rsidRDefault="00AC60DC" w:rsidP="00A06364">
            <w:pPr>
              <w:contextualSpacing/>
              <w:jc w:val="center"/>
            </w:pPr>
            <w:r>
              <w:t>1.97</w:t>
            </w:r>
          </w:p>
        </w:tc>
        <w:tc>
          <w:tcPr>
            <w:tcW w:w="1320" w:type="dxa"/>
            <w:shd w:val="clear" w:color="auto" w:fill="auto"/>
          </w:tcPr>
          <w:p w14:paraId="12FF445F" w14:textId="77777777" w:rsidR="00AC60DC" w:rsidRPr="00A30C2D" w:rsidRDefault="00AC60DC" w:rsidP="00A06364">
            <w:pPr>
              <w:contextualSpacing/>
              <w:jc w:val="center"/>
            </w:pPr>
            <w:r>
              <w:t>2.55</w:t>
            </w:r>
          </w:p>
        </w:tc>
        <w:tc>
          <w:tcPr>
            <w:tcW w:w="992" w:type="dxa"/>
            <w:shd w:val="clear" w:color="auto" w:fill="D9D9D9" w:themeFill="background1" w:themeFillShade="D9"/>
          </w:tcPr>
          <w:p w14:paraId="65EEA795" w14:textId="77777777" w:rsidR="00AC60DC" w:rsidRPr="00A30C2D" w:rsidRDefault="00AC60DC" w:rsidP="00A06364">
            <w:pPr>
              <w:contextualSpacing/>
              <w:jc w:val="center"/>
            </w:pPr>
            <w:r>
              <w:t>0.58</w:t>
            </w:r>
          </w:p>
        </w:tc>
        <w:tc>
          <w:tcPr>
            <w:tcW w:w="1324" w:type="dxa"/>
            <w:shd w:val="clear" w:color="auto" w:fill="auto"/>
          </w:tcPr>
          <w:p w14:paraId="0F9FEC61" w14:textId="77777777" w:rsidR="00AC60DC" w:rsidRPr="00A30C2D" w:rsidRDefault="00AC60DC" w:rsidP="00A06364">
            <w:pPr>
              <w:contextualSpacing/>
              <w:jc w:val="center"/>
            </w:pPr>
            <w:r>
              <w:t>2.31</w:t>
            </w:r>
          </w:p>
        </w:tc>
        <w:tc>
          <w:tcPr>
            <w:tcW w:w="969" w:type="dxa"/>
            <w:shd w:val="clear" w:color="auto" w:fill="D9D9D9" w:themeFill="background1" w:themeFillShade="D9"/>
          </w:tcPr>
          <w:p w14:paraId="053BF246" w14:textId="77777777" w:rsidR="00AC60DC" w:rsidRDefault="005C0F95" w:rsidP="00A06364">
            <w:pPr>
              <w:contextualSpacing/>
              <w:jc w:val="center"/>
            </w:pPr>
            <w:r>
              <w:t>-0.24/</w:t>
            </w:r>
          </w:p>
          <w:p w14:paraId="67CA2146" w14:textId="77777777" w:rsidR="005C0F95" w:rsidRPr="00A30C2D" w:rsidRDefault="005C0F95" w:rsidP="00A06364">
            <w:pPr>
              <w:contextualSpacing/>
              <w:jc w:val="center"/>
            </w:pPr>
            <w:r>
              <w:t>0.34</w:t>
            </w:r>
          </w:p>
        </w:tc>
      </w:tr>
      <w:tr w:rsidR="00023670" w14:paraId="7B26C5C5" w14:textId="77777777" w:rsidTr="0088745D">
        <w:trPr>
          <w:jc w:val="center"/>
        </w:trPr>
        <w:tc>
          <w:tcPr>
            <w:tcW w:w="1981" w:type="dxa"/>
            <w:gridSpan w:val="2"/>
            <w:shd w:val="clear" w:color="auto" w:fill="auto"/>
          </w:tcPr>
          <w:p w14:paraId="41DA1DBD" w14:textId="77777777" w:rsidR="00AC60DC" w:rsidRDefault="00AC60DC" w:rsidP="00A06364">
            <w:pPr>
              <w:contextualSpacing/>
            </w:pPr>
            <w:r w:rsidRPr="00A96E76">
              <w:t>E. Teachers help students develop critical thinking and problem-solving skills.</w:t>
            </w:r>
          </w:p>
        </w:tc>
        <w:tc>
          <w:tcPr>
            <w:tcW w:w="1339" w:type="dxa"/>
            <w:shd w:val="clear" w:color="auto" w:fill="auto"/>
          </w:tcPr>
          <w:p w14:paraId="67B3A35D" w14:textId="77777777" w:rsidR="00AC60DC" w:rsidRPr="00A30C2D" w:rsidRDefault="00023670" w:rsidP="00A06364">
            <w:pPr>
              <w:contextualSpacing/>
              <w:jc w:val="center"/>
            </w:pPr>
            <w:r>
              <w:t>2.05</w:t>
            </w:r>
          </w:p>
        </w:tc>
        <w:tc>
          <w:tcPr>
            <w:tcW w:w="1344" w:type="dxa"/>
            <w:shd w:val="clear" w:color="auto" w:fill="auto"/>
          </w:tcPr>
          <w:p w14:paraId="718F2077" w14:textId="77777777" w:rsidR="00AC60DC" w:rsidRPr="00A30C2D" w:rsidRDefault="00AC60DC" w:rsidP="00A06364">
            <w:pPr>
              <w:contextualSpacing/>
              <w:jc w:val="center"/>
            </w:pPr>
            <w:r>
              <w:t>2.14</w:t>
            </w:r>
          </w:p>
        </w:tc>
        <w:tc>
          <w:tcPr>
            <w:tcW w:w="1344" w:type="dxa"/>
            <w:shd w:val="clear" w:color="auto" w:fill="auto"/>
          </w:tcPr>
          <w:p w14:paraId="1ADD74D6" w14:textId="77777777" w:rsidR="00AC60DC" w:rsidRPr="00A30C2D" w:rsidRDefault="00023670" w:rsidP="00A06364">
            <w:pPr>
              <w:contextualSpacing/>
              <w:jc w:val="center"/>
            </w:pPr>
            <w:r>
              <w:t>2.31</w:t>
            </w:r>
          </w:p>
        </w:tc>
        <w:tc>
          <w:tcPr>
            <w:tcW w:w="993" w:type="dxa"/>
            <w:shd w:val="clear" w:color="auto" w:fill="D9D9D9" w:themeFill="background1" w:themeFillShade="D9"/>
          </w:tcPr>
          <w:p w14:paraId="3CD7F61B" w14:textId="77777777" w:rsidR="00AC60DC" w:rsidRDefault="005E268C" w:rsidP="00A06364">
            <w:pPr>
              <w:contextualSpacing/>
              <w:jc w:val="center"/>
            </w:pPr>
            <w:r>
              <w:t>0.17</w:t>
            </w:r>
          </w:p>
        </w:tc>
        <w:tc>
          <w:tcPr>
            <w:tcW w:w="1344" w:type="dxa"/>
            <w:shd w:val="clear" w:color="auto" w:fill="auto"/>
          </w:tcPr>
          <w:p w14:paraId="440944C6" w14:textId="77777777" w:rsidR="00AC60DC" w:rsidRPr="00A30C2D" w:rsidRDefault="00AC60DC" w:rsidP="00A06364">
            <w:pPr>
              <w:contextualSpacing/>
              <w:jc w:val="center"/>
            </w:pPr>
            <w:r>
              <w:t>2.00</w:t>
            </w:r>
          </w:p>
        </w:tc>
        <w:tc>
          <w:tcPr>
            <w:tcW w:w="1320" w:type="dxa"/>
            <w:shd w:val="clear" w:color="auto" w:fill="auto"/>
          </w:tcPr>
          <w:p w14:paraId="32A0270A" w14:textId="77777777" w:rsidR="00AC60DC" w:rsidRPr="00A30C2D" w:rsidRDefault="00AC60DC" w:rsidP="00A06364">
            <w:pPr>
              <w:contextualSpacing/>
              <w:jc w:val="center"/>
            </w:pPr>
            <w:r>
              <w:t>2.35</w:t>
            </w:r>
          </w:p>
        </w:tc>
        <w:tc>
          <w:tcPr>
            <w:tcW w:w="992" w:type="dxa"/>
            <w:shd w:val="clear" w:color="auto" w:fill="D9D9D9" w:themeFill="background1" w:themeFillShade="D9"/>
          </w:tcPr>
          <w:p w14:paraId="45066C92" w14:textId="77777777" w:rsidR="00AC60DC" w:rsidRPr="00A30C2D" w:rsidRDefault="00AC60DC" w:rsidP="00A06364">
            <w:pPr>
              <w:contextualSpacing/>
              <w:jc w:val="center"/>
            </w:pPr>
            <w:r>
              <w:t>0.35</w:t>
            </w:r>
          </w:p>
        </w:tc>
        <w:tc>
          <w:tcPr>
            <w:tcW w:w="1324" w:type="dxa"/>
            <w:shd w:val="clear" w:color="auto" w:fill="auto"/>
          </w:tcPr>
          <w:p w14:paraId="227FF0E3" w14:textId="77777777" w:rsidR="00AC60DC" w:rsidRPr="00A30C2D" w:rsidRDefault="00AC60DC" w:rsidP="00A06364">
            <w:pPr>
              <w:contextualSpacing/>
              <w:jc w:val="center"/>
            </w:pPr>
            <w:r>
              <w:t>2.54</w:t>
            </w:r>
          </w:p>
        </w:tc>
        <w:tc>
          <w:tcPr>
            <w:tcW w:w="969" w:type="dxa"/>
            <w:shd w:val="clear" w:color="auto" w:fill="D9D9D9" w:themeFill="background1" w:themeFillShade="D9"/>
          </w:tcPr>
          <w:p w14:paraId="2148F1C2" w14:textId="77777777" w:rsidR="00AC60DC" w:rsidRDefault="005C0F95" w:rsidP="00A06364">
            <w:pPr>
              <w:contextualSpacing/>
              <w:jc w:val="center"/>
            </w:pPr>
            <w:r>
              <w:t>0.19/</w:t>
            </w:r>
          </w:p>
          <w:p w14:paraId="066F6949" w14:textId="77777777" w:rsidR="005C0F95" w:rsidRPr="00A30C2D" w:rsidRDefault="005C0F95" w:rsidP="00A06364">
            <w:pPr>
              <w:contextualSpacing/>
              <w:jc w:val="center"/>
            </w:pPr>
            <w:r>
              <w:t>0.54</w:t>
            </w:r>
          </w:p>
        </w:tc>
      </w:tr>
      <w:tr w:rsidR="00023670" w14:paraId="4C0F463A" w14:textId="77777777" w:rsidTr="0088745D">
        <w:trPr>
          <w:jc w:val="center"/>
        </w:trPr>
        <w:tc>
          <w:tcPr>
            <w:tcW w:w="1981" w:type="dxa"/>
            <w:gridSpan w:val="2"/>
            <w:shd w:val="clear" w:color="auto" w:fill="auto"/>
          </w:tcPr>
          <w:p w14:paraId="197E15DF" w14:textId="77777777" w:rsidR="00AC60DC" w:rsidRDefault="00AC60DC" w:rsidP="00A06364">
            <w:pPr>
              <w:contextualSpacing/>
            </w:pPr>
            <w:r w:rsidRPr="00A96E76">
              <w:t>F. Teachers help students work in teams and develop leadership qualities.</w:t>
            </w:r>
          </w:p>
        </w:tc>
        <w:tc>
          <w:tcPr>
            <w:tcW w:w="1339" w:type="dxa"/>
            <w:shd w:val="clear" w:color="auto" w:fill="auto"/>
          </w:tcPr>
          <w:p w14:paraId="1519D6DE" w14:textId="77777777" w:rsidR="00AC60DC" w:rsidRPr="00A30C2D" w:rsidRDefault="00023670" w:rsidP="00A06364">
            <w:pPr>
              <w:contextualSpacing/>
              <w:jc w:val="center"/>
            </w:pPr>
            <w:r>
              <w:t>1.91</w:t>
            </w:r>
          </w:p>
        </w:tc>
        <w:tc>
          <w:tcPr>
            <w:tcW w:w="1344" w:type="dxa"/>
            <w:shd w:val="clear" w:color="auto" w:fill="auto"/>
          </w:tcPr>
          <w:p w14:paraId="1B54C7BC" w14:textId="77777777" w:rsidR="00AC60DC" w:rsidRPr="00A30C2D" w:rsidRDefault="00AC60DC" w:rsidP="00A06364">
            <w:pPr>
              <w:contextualSpacing/>
              <w:jc w:val="center"/>
            </w:pPr>
            <w:r>
              <w:t>2.05</w:t>
            </w:r>
          </w:p>
        </w:tc>
        <w:tc>
          <w:tcPr>
            <w:tcW w:w="1344" w:type="dxa"/>
            <w:shd w:val="clear" w:color="auto" w:fill="auto"/>
          </w:tcPr>
          <w:p w14:paraId="1E7F3CE8" w14:textId="77777777" w:rsidR="00AC60DC" w:rsidRPr="00A30C2D" w:rsidRDefault="00023670" w:rsidP="00A06364">
            <w:pPr>
              <w:contextualSpacing/>
              <w:jc w:val="center"/>
            </w:pPr>
            <w:r>
              <w:t>2.25</w:t>
            </w:r>
          </w:p>
        </w:tc>
        <w:tc>
          <w:tcPr>
            <w:tcW w:w="993" w:type="dxa"/>
            <w:shd w:val="clear" w:color="auto" w:fill="D9D9D9" w:themeFill="background1" w:themeFillShade="D9"/>
          </w:tcPr>
          <w:p w14:paraId="1250604F" w14:textId="77777777" w:rsidR="00AC60DC" w:rsidRDefault="005E268C" w:rsidP="00A06364">
            <w:pPr>
              <w:contextualSpacing/>
              <w:jc w:val="center"/>
            </w:pPr>
            <w:r>
              <w:t>0.10</w:t>
            </w:r>
          </w:p>
        </w:tc>
        <w:tc>
          <w:tcPr>
            <w:tcW w:w="1344" w:type="dxa"/>
            <w:shd w:val="clear" w:color="auto" w:fill="auto"/>
          </w:tcPr>
          <w:p w14:paraId="308B69E0" w14:textId="77777777" w:rsidR="00AC60DC" w:rsidRPr="00A30C2D" w:rsidRDefault="00AC60DC" w:rsidP="00A06364">
            <w:pPr>
              <w:contextualSpacing/>
              <w:jc w:val="center"/>
            </w:pPr>
            <w:r>
              <w:t>1.91</w:t>
            </w:r>
          </w:p>
        </w:tc>
        <w:tc>
          <w:tcPr>
            <w:tcW w:w="1320" w:type="dxa"/>
            <w:shd w:val="clear" w:color="auto" w:fill="auto"/>
          </w:tcPr>
          <w:p w14:paraId="6F699289" w14:textId="77777777" w:rsidR="00AC60DC" w:rsidRPr="00A30C2D" w:rsidRDefault="00AC60DC" w:rsidP="00A06364">
            <w:pPr>
              <w:contextualSpacing/>
              <w:jc w:val="center"/>
            </w:pPr>
            <w:r>
              <w:t>2.45</w:t>
            </w:r>
          </w:p>
        </w:tc>
        <w:tc>
          <w:tcPr>
            <w:tcW w:w="992" w:type="dxa"/>
            <w:shd w:val="clear" w:color="auto" w:fill="D9D9D9" w:themeFill="background1" w:themeFillShade="D9"/>
          </w:tcPr>
          <w:p w14:paraId="40277BA5" w14:textId="77777777" w:rsidR="00AC60DC" w:rsidRPr="00A30C2D" w:rsidRDefault="00AC60DC" w:rsidP="00A06364">
            <w:pPr>
              <w:contextualSpacing/>
              <w:jc w:val="center"/>
            </w:pPr>
            <w:r>
              <w:t>0.54</w:t>
            </w:r>
          </w:p>
        </w:tc>
        <w:tc>
          <w:tcPr>
            <w:tcW w:w="1324" w:type="dxa"/>
            <w:shd w:val="clear" w:color="auto" w:fill="auto"/>
          </w:tcPr>
          <w:p w14:paraId="45BF35BE" w14:textId="77777777" w:rsidR="00AC60DC" w:rsidRPr="00A30C2D" w:rsidRDefault="00AC60DC" w:rsidP="00A06364">
            <w:pPr>
              <w:contextualSpacing/>
              <w:jc w:val="center"/>
            </w:pPr>
            <w:r>
              <w:t>2.00</w:t>
            </w:r>
          </w:p>
        </w:tc>
        <w:tc>
          <w:tcPr>
            <w:tcW w:w="969" w:type="dxa"/>
            <w:shd w:val="clear" w:color="auto" w:fill="D9D9D9" w:themeFill="background1" w:themeFillShade="D9"/>
          </w:tcPr>
          <w:p w14:paraId="537D9AD4" w14:textId="77777777" w:rsidR="00AC60DC" w:rsidRDefault="005C0F95" w:rsidP="00A06364">
            <w:pPr>
              <w:contextualSpacing/>
              <w:jc w:val="center"/>
            </w:pPr>
            <w:r>
              <w:t>-0.45/</w:t>
            </w:r>
          </w:p>
          <w:p w14:paraId="14A9AAEF" w14:textId="77777777" w:rsidR="005C0F95" w:rsidRPr="00A30C2D" w:rsidRDefault="005C0F95" w:rsidP="00A06364">
            <w:pPr>
              <w:contextualSpacing/>
              <w:jc w:val="center"/>
            </w:pPr>
            <w:r>
              <w:t>0.09</w:t>
            </w:r>
          </w:p>
        </w:tc>
      </w:tr>
      <w:tr w:rsidR="00023670" w14:paraId="616B0584" w14:textId="77777777" w:rsidTr="0088745D">
        <w:trPr>
          <w:jc w:val="center"/>
        </w:trPr>
        <w:tc>
          <w:tcPr>
            <w:tcW w:w="1981" w:type="dxa"/>
            <w:gridSpan w:val="2"/>
            <w:shd w:val="clear" w:color="auto" w:fill="auto"/>
          </w:tcPr>
          <w:p w14:paraId="0105E9C7" w14:textId="77777777" w:rsidR="00AC60DC" w:rsidRDefault="00AC60DC" w:rsidP="00A06364">
            <w:pPr>
              <w:contextualSpacing/>
            </w:pPr>
            <w:r w:rsidRPr="00A96E76">
              <w:t>G. Teachers communicate effectively.</w:t>
            </w:r>
          </w:p>
        </w:tc>
        <w:tc>
          <w:tcPr>
            <w:tcW w:w="1339" w:type="dxa"/>
            <w:shd w:val="clear" w:color="auto" w:fill="auto"/>
          </w:tcPr>
          <w:p w14:paraId="5AE62E70" w14:textId="77777777" w:rsidR="00AC60DC" w:rsidRPr="00A30C2D" w:rsidRDefault="00023670" w:rsidP="00A06364">
            <w:pPr>
              <w:contextualSpacing/>
              <w:jc w:val="center"/>
            </w:pPr>
            <w:r>
              <w:t>2.16</w:t>
            </w:r>
          </w:p>
        </w:tc>
        <w:tc>
          <w:tcPr>
            <w:tcW w:w="1344" w:type="dxa"/>
            <w:shd w:val="clear" w:color="auto" w:fill="auto"/>
          </w:tcPr>
          <w:p w14:paraId="4B9072E7" w14:textId="77777777" w:rsidR="00AC60DC" w:rsidRPr="00A30C2D" w:rsidRDefault="00AC60DC" w:rsidP="00A06364">
            <w:pPr>
              <w:contextualSpacing/>
              <w:jc w:val="center"/>
            </w:pPr>
            <w:r>
              <w:t>2.07</w:t>
            </w:r>
          </w:p>
        </w:tc>
        <w:tc>
          <w:tcPr>
            <w:tcW w:w="1344" w:type="dxa"/>
            <w:shd w:val="clear" w:color="auto" w:fill="auto"/>
          </w:tcPr>
          <w:p w14:paraId="7F94E2A7" w14:textId="77777777" w:rsidR="00AC60DC" w:rsidRPr="00A30C2D" w:rsidRDefault="00023670" w:rsidP="00A06364">
            <w:pPr>
              <w:contextualSpacing/>
              <w:jc w:val="center"/>
            </w:pPr>
            <w:r>
              <w:t>2.47</w:t>
            </w:r>
          </w:p>
        </w:tc>
        <w:tc>
          <w:tcPr>
            <w:tcW w:w="993" w:type="dxa"/>
            <w:shd w:val="clear" w:color="auto" w:fill="D9D9D9" w:themeFill="background1" w:themeFillShade="D9"/>
          </w:tcPr>
          <w:p w14:paraId="0DC81F9A" w14:textId="77777777" w:rsidR="00AC60DC" w:rsidRDefault="005E268C" w:rsidP="00A06364">
            <w:pPr>
              <w:contextualSpacing/>
              <w:jc w:val="center"/>
            </w:pPr>
            <w:r>
              <w:t>0.40</w:t>
            </w:r>
          </w:p>
        </w:tc>
        <w:tc>
          <w:tcPr>
            <w:tcW w:w="1344" w:type="dxa"/>
            <w:shd w:val="clear" w:color="auto" w:fill="auto"/>
          </w:tcPr>
          <w:p w14:paraId="5170FF08" w14:textId="77777777" w:rsidR="00AC60DC" w:rsidRPr="00A30C2D" w:rsidRDefault="00AC60DC" w:rsidP="00A06364">
            <w:pPr>
              <w:contextualSpacing/>
              <w:jc w:val="center"/>
            </w:pPr>
            <w:r>
              <w:t>2.00</w:t>
            </w:r>
          </w:p>
        </w:tc>
        <w:tc>
          <w:tcPr>
            <w:tcW w:w="1320" w:type="dxa"/>
            <w:shd w:val="clear" w:color="auto" w:fill="auto"/>
          </w:tcPr>
          <w:p w14:paraId="76F4B690" w14:textId="77777777" w:rsidR="00AC60DC" w:rsidRPr="00A30C2D" w:rsidRDefault="00AC60DC" w:rsidP="00A06364">
            <w:pPr>
              <w:contextualSpacing/>
              <w:jc w:val="center"/>
            </w:pPr>
            <w:r>
              <w:t>2.58</w:t>
            </w:r>
          </w:p>
        </w:tc>
        <w:tc>
          <w:tcPr>
            <w:tcW w:w="992" w:type="dxa"/>
            <w:shd w:val="clear" w:color="auto" w:fill="D9D9D9" w:themeFill="background1" w:themeFillShade="D9"/>
          </w:tcPr>
          <w:p w14:paraId="250C984B" w14:textId="77777777" w:rsidR="00AC60DC" w:rsidRPr="00A30C2D" w:rsidRDefault="00AC60DC" w:rsidP="00A06364">
            <w:pPr>
              <w:contextualSpacing/>
              <w:jc w:val="center"/>
            </w:pPr>
            <w:r>
              <w:t>0.58</w:t>
            </w:r>
          </w:p>
        </w:tc>
        <w:tc>
          <w:tcPr>
            <w:tcW w:w="1324" w:type="dxa"/>
            <w:shd w:val="clear" w:color="auto" w:fill="auto"/>
          </w:tcPr>
          <w:p w14:paraId="6F3B30F6" w14:textId="77777777" w:rsidR="00AC60DC" w:rsidRPr="00A30C2D" w:rsidRDefault="00AC60DC" w:rsidP="00A06364">
            <w:pPr>
              <w:contextualSpacing/>
              <w:jc w:val="center"/>
            </w:pPr>
            <w:r>
              <w:t>2.38</w:t>
            </w:r>
          </w:p>
        </w:tc>
        <w:tc>
          <w:tcPr>
            <w:tcW w:w="969" w:type="dxa"/>
            <w:shd w:val="clear" w:color="auto" w:fill="D9D9D9" w:themeFill="background1" w:themeFillShade="D9"/>
          </w:tcPr>
          <w:p w14:paraId="4CD244A7" w14:textId="77777777" w:rsidR="00AC60DC" w:rsidRDefault="005C0F95" w:rsidP="00A06364">
            <w:pPr>
              <w:contextualSpacing/>
              <w:jc w:val="center"/>
            </w:pPr>
            <w:r>
              <w:t>-0.20/</w:t>
            </w:r>
          </w:p>
          <w:p w14:paraId="39A09B1A" w14:textId="77777777" w:rsidR="005C0F95" w:rsidRPr="00A30C2D" w:rsidRDefault="005C0F95" w:rsidP="00A06364">
            <w:pPr>
              <w:contextualSpacing/>
              <w:jc w:val="center"/>
            </w:pPr>
            <w:r>
              <w:t>0.38</w:t>
            </w:r>
          </w:p>
        </w:tc>
      </w:tr>
      <w:tr w:rsidR="00023670" w14:paraId="66634306" w14:textId="77777777" w:rsidTr="0088745D">
        <w:trPr>
          <w:jc w:val="center"/>
        </w:trPr>
        <w:tc>
          <w:tcPr>
            <w:tcW w:w="1981" w:type="dxa"/>
            <w:gridSpan w:val="2"/>
            <w:shd w:val="clear" w:color="auto" w:fill="auto"/>
          </w:tcPr>
          <w:p w14:paraId="61BF8752" w14:textId="77777777" w:rsidR="00AC60DC" w:rsidRDefault="00AC60DC" w:rsidP="00A06364">
            <w:pPr>
              <w:contextualSpacing/>
            </w:pPr>
            <w:r w:rsidRPr="00A96E76">
              <w:t>H. Teachers use a variety of methods to assess what each student has learned.</w:t>
            </w:r>
          </w:p>
        </w:tc>
        <w:tc>
          <w:tcPr>
            <w:tcW w:w="1339" w:type="dxa"/>
            <w:shd w:val="clear" w:color="auto" w:fill="auto"/>
          </w:tcPr>
          <w:p w14:paraId="0BB743FC" w14:textId="77777777" w:rsidR="00AC60DC" w:rsidRPr="00A30C2D" w:rsidRDefault="00023670" w:rsidP="00A06364">
            <w:pPr>
              <w:contextualSpacing/>
              <w:jc w:val="center"/>
            </w:pPr>
            <w:r>
              <w:t>1.72</w:t>
            </w:r>
          </w:p>
        </w:tc>
        <w:tc>
          <w:tcPr>
            <w:tcW w:w="1344" w:type="dxa"/>
            <w:shd w:val="clear" w:color="auto" w:fill="auto"/>
          </w:tcPr>
          <w:p w14:paraId="10B7E34E" w14:textId="77777777" w:rsidR="00AC60DC" w:rsidRPr="00A30C2D" w:rsidRDefault="00AC60DC" w:rsidP="00A06364">
            <w:pPr>
              <w:contextualSpacing/>
              <w:jc w:val="center"/>
            </w:pPr>
            <w:r>
              <w:t>1.83</w:t>
            </w:r>
          </w:p>
        </w:tc>
        <w:tc>
          <w:tcPr>
            <w:tcW w:w="1344" w:type="dxa"/>
            <w:shd w:val="clear" w:color="auto" w:fill="auto"/>
          </w:tcPr>
          <w:p w14:paraId="7997E91F" w14:textId="77777777" w:rsidR="00AC60DC" w:rsidRPr="00A30C2D" w:rsidRDefault="00023670" w:rsidP="00A06364">
            <w:pPr>
              <w:contextualSpacing/>
              <w:jc w:val="center"/>
            </w:pPr>
            <w:r>
              <w:t>2.06</w:t>
            </w:r>
          </w:p>
        </w:tc>
        <w:tc>
          <w:tcPr>
            <w:tcW w:w="993" w:type="dxa"/>
            <w:shd w:val="clear" w:color="auto" w:fill="D9D9D9" w:themeFill="background1" w:themeFillShade="D9"/>
          </w:tcPr>
          <w:p w14:paraId="53D73688" w14:textId="77777777" w:rsidR="00AC60DC" w:rsidRDefault="005E268C" w:rsidP="00A06364">
            <w:pPr>
              <w:contextualSpacing/>
              <w:jc w:val="center"/>
            </w:pPr>
            <w:r>
              <w:t>0.23</w:t>
            </w:r>
          </w:p>
        </w:tc>
        <w:tc>
          <w:tcPr>
            <w:tcW w:w="1344" w:type="dxa"/>
            <w:shd w:val="clear" w:color="auto" w:fill="auto"/>
          </w:tcPr>
          <w:p w14:paraId="0253EB62" w14:textId="77777777" w:rsidR="00AC60DC" w:rsidRPr="00A30C2D" w:rsidRDefault="00AC60DC" w:rsidP="00A06364">
            <w:pPr>
              <w:contextualSpacing/>
              <w:jc w:val="center"/>
            </w:pPr>
            <w:r>
              <w:t>1.91</w:t>
            </w:r>
          </w:p>
        </w:tc>
        <w:tc>
          <w:tcPr>
            <w:tcW w:w="1320" w:type="dxa"/>
            <w:shd w:val="clear" w:color="auto" w:fill="auto"/>
          </w:tcPr>
          <w:p w14:paraId="6879B842" w14:textId="77777777" w:rsidR="00AC60DC" w:rsidRPr="00A30C2D" w:rsidRDefault="00AC60DC" w:rsidP="00A06364">
            <w:pPr>
              <w:contextualSpacing/>
              <w:jc w:val="center"/>
            </w:pPr>
            <w:r>
              <w:t>2.23</w:t>
            </w:r>
          </w:p>
        </w:tc>
        <w:tc>
          <w:tcPr>
            <w:tcW w:w="992" w:type="dxa"/>
            <w:shd w:val="clear" w:color="auto" w:fill="D9D9D9" w:themeFill="background1" w:themeFillShade="D9"/>
          </w:tcPr>
          <w:p w14:paraId="209EBBE2" w14:textId="77777777" w:rsidR="00AC60DC" w:rsidRPr="00A30C2D" w:rsidRDefault="00AC60DC" w:rsidP="00A06364">
            <w:pPr>
              <w:contextualSpacing/>
              <w:jc w:val="center"/>
            </w:pPr>
            <w:r>
              <w:t>0.32</w:t>
            </w:r>
          </w:p>
        </w:tc>
        <w:tc>
          <w:tcPr>
            <w:tcW w:w="1324" w:type="dxa"/>
            <w:shd w:val="clear" w:color="auto" w:fill="auto"/>
          </w:tcPr>
          <w:p w14:paraId="049A99E8" w14:textId="77777777" w:rsidR="00AC60DC" w:rsidRPr="00A30C2D" w:rsidRDefault="00AC60DC" w:rsidP="00A06364">
            <w:pPr>
              <w:contextualSpacing/>
              <w:jc w:val="center"/>
            </w:pPr>
            <w:r>
              <w:t>2.15</w:t>
            </w:r>
          </w:p>
        </w:tc>
        <w:tc>
          <w:tcPr>
            <w:tcW w:w="969" w:type="dxa"/>
            <w:shd w:val="clear" w:color="auto" w:fill="D9D9D9" w:themeFill="background1" w:themeFillShade="D9"/>
          </w:tcPr>
          <w:p w14:paraId="3A0F13BA" w14:textId="77777777" w:rsidR="00AC60DC" w:rsidRDefault="005C0F95" w:rsidP="00A06364">
            <w:pPr>
              <w:contextualSpacing/>
              <w:jc w:val="center"/>
            </w:pPr>
            <w:r>
              <w:t>-0.08/</w:t>
            </w:r>
          </w:p>
          <w:p w14:paraId="6F74941E" w14:textId="77777777" w:rsidR="005C0F95" w:rsidRPr="00A30C2D" w:rsidRDefault="0088745D" w:rsidP="00A06364">
            <w:pPr>
              <w:contextualSpacing/>
              <w:jc w:val="center"/>
            </w:pPr>
            <w:r>
              <w:t>0.24</w:t>
            </w:r>
          </w:p>
        </w:tc>
      </w:tr>
      <w:tr w:rsidR="00023670" w14:paraId="3012286E" w14:textId="77777777" w:rsidTr="0088745D">
        <w:trPr>
          <w:jc w:val="center"/>
        </w:trPr>
        <w:tc>
          <w:tcPr>
            <w:tcW w:w="1981" w:type="dxa"/>
            <w:gridSpan w:val="2"/>
            <w:shd w:val="clear" w:color="auto" w:fill="auto"/>
          </w:tcPr>
          <w:p w14:paraId="090F2E66" w14:textId="77777777" w:rsidR="00AC60DC" w:rsidRDefault="00AC60DC" w:rsidP="00A06364">
            <w:pPr>
              <w:contextualSpacing/>
            </w:pPr>
            <w:r w:rsidRPr="00A96E76">
              <w:t>Overall rating for Teachers Facilitate Learning for Their Students</w:t>
            </w:r>
          </w:p>
        </w:tc>
        <w:tc>
          <w:tcPr>
            <w:tcW w:w="1339" w:type="dxa"/>
            <w:shd w:val="clear" w:color="auto" w:fill="auto"/>
          </w:tcPr>
          <w:p w14:paraId="2673C424" w14:textId="77777777" w:rsidR="00AC60DC" w:rsidRPr="00A30C2D" w:rsidRDefault="00023670" w:rsidP="00A06364">
            <w:pPr>
              <w:contextualSpacing/>
              <w:jc w:val="center"/>
            </w:pPr>
            <w:r>
              <w:t>1.93</w:t>
            </w:r>
          </w:p>
        </w:tc>
        <w:tc>
          <w:tcPr>
            <w:tcW w:w="1344" w:type="dxa"/>
            <w:shd w:val="clear" w:color="auto" w:fill="auto"/>
          </w:tcPr>
          <w:p w14:paraId="42385EB0" w14:textId="77777777" w:rsidR="00AC60DC" w:rsidRPr="00A30C2D" w:rsidRDefault="00AC60DC" w:rsidP="00A06364">
            <w:pPr>
              <w:contextualSpacing/>
              <w:jc w:val="center"/>
            </w:pPr>
            <w:r>
              <w:t>2.00</w:t>
            </w:r>
          </w:p>
        </w:tc>
        <w:tc>
          <w:tcPr>
            <w:tcW w:w="1344" w:type="dxa"/>
            <w:shd w:val="clear" w:color="auto" w:fill="auto"/>
          </w:tcPr>
          <w:p w14:paraId="079555F7" w14:textId="77777777" w:rsidR="00AC60DC" w:rsidRPr="00A30C2D" w:rsidRDefault="00023670" w:rsidP="00A06364">
            <w:pPr>
              <w:contextualSpacing/>
              <w:jc w:val="center"/>
            </w:pPr>
            <w:r>
              <w:t>2.31</w:t>
            </w:r>
          </w:p>
        </w:tc>
        <w:tc>
          <w:tcPr>
            <w:tcW w:w="993" w:type="dxa"/>
            <w:shd w:val="clear" w:color="auto" w:fill="D9D9D9" w:themeFill="background1" w:themeFillShade="D9"/>
          </w:tcPr>
          <w:p w14:paraId="070F97E9" w14:textId="77777777" w:rsidR="00AC60DC" w:rsidRDefault="005E268C" w:rsidP="00A06364">
            <w:pPr>
              <w:contextualSpacing/>
              <w:jc w:val="center"/>
            </w:pPr>
            <w:r>
              <w:t>0.31</w:t>
            </w:r>
          </w:p>
        </w:tc>
        <w:tc>
          <w:tcPr>
            <w:tcW w:w="1344" w:type="dxa"/>
            <w:shd w:val="clear" w:color="auto" w:fill="auto"/>
          </w:tcPr>
          <w:p w14:paraId="7C437B71" w14:textId="77777777" w:rsidR="00AC60DC" w:rsidRPr="00A30C2D" w:rsidRDefault="00AC60DC" w:rsidP="00A06364">
            <w:pPr>
              <w:contextualSpacing/>
              <w:jc w:val="center"/>
            </w:pPr>
            <w:r>
              <w:t>2.09</w:t>
            </w:r>
          </w:p>
        </w:tc>
        <w:tc>
          <w:tcPr>
            <w:tcW w:w="1320" w:type="dxa"/>
            <w:shd w:val="clear" w:color="auto" w:fill="auto"/>
          </w:tcPr>
          <w:p w14:paraId="43E387ED" w14:textId="77777777" w:rsidR="00AC60DC" w:rsidRPr="00A30C2D" w:rsidRDefault="00AC60DC" w:rsidP="00A06364">
            <w:pPr>
              <w:contextualSpacing/>
              <w:jc w:val="center"/>
            </w:pPr>
            <w:r>
              <w:t>2.42</w:t>
            </w:r>
          </w:p>
        </w:tc>
        <w:tc>
          <w:tcPr>
            <w:tcW w:w="992" w:type="dxa"/>
            <w:shd w:val="clear" w:color="auto" w:fill="D9D9D9" w:themeFill="background1" w:themeFillShade="D9"/>
          </w:tcPr>
          <w:p w14:paraId="0AE25BE7" w14:textId="77777777" w:rsidR="00AC60DC" w:rsidRPr="00A30C2D" w:rsidRDefault="00AC60DC" w:rsidP="00A06364">
            <w:pPr>
              <w:contextualSpacing/>
              <w:jc w:val="center"/>
            </w:pPr>
            <w:r>
              <w:t>0.33</w:t>
            </w:r>
          </w:p>
        </w:tc>
        <w:tc>
          <w:tcPr>
            <w:tcW w:w="1324" w:type="dxa"/>
            <w:shd w:val="clear" w:color="auto" w:fill="auto"/>
          </w:tcPr>
          <w:p w14:paraId="28EC675D" w14:textId="77777777" w:rsidR="00AC60DC" w:rsidRPr="00A30C2D" w:rsidRDefault="00AC60DC" w:rsidP="00A06364">
            <w:pPr>
              <w:contextualSpacing/>
              <w:jc w:val="center"/>
            </w:pPr>
            <w:r>
              <w:t>2.31</w:t>
            </w:r>
          </w:p>
        </w:tc>
        <w:tc>
          <w:tcPr>
            <w:tcW w:w="969" w:type="dxa"/>
            <w:shd w:val="clear" w:color="auto" w:fill="D9D9D9" w:themeFill="background1" w:themeFillShade="D9"/>
          </w:tcPr>
          <w:p w14:paraId="10462857" w14:textId="77777777" w:rsidR="00AC60DC" w:rsidRDefault="0088745D" w:rsidP="00A06364">
            <w:pPr>
              <w:contextualSpacing/>
              <w:jc w:val="center"/>
            </w:pPr>
            <w:r>
              <w:t>-0.11/</w:t>
            </w:r>
          </w:p>
          <w:p w14:paraId="6E864501" w14:textId="77777777" w:rsidR="0088745D" w:rsidRPr="00A30C2D" w:rsidRDefault="0088745D" w:rsidP="00A06364">
            <w:pPr>
              <w:contextualSpacing/>
              <w:jc w:val="center"/>
            </w:pPr>
            <w:r>
              <w:t>0.22</w:t>
            </w:r>
          </w:p>
        </w:tc>
      </w:tr>
      <w:tr w:rsidR="00023670" w14:paraId="4DCA8CAD" w14:textId="77777777" w:rsidTr="00863CAC">
        <w:trPr>
          <w:jc w:val="center"/>
        </w:trPr>
        <w:tc>
          <w:tcPr>
            <w:tcW w:w="12950" w:type="dxa"/>
            <w:gridSpan w:val="11"/>
            <w:shd w:val="clear" w:color="auto" w:fill="A6A6A6" w:themeFill="background1" w:themeFillShade="A6"/>
          </w:tcPr>
          <w:p w14:paraId="43A5E18C" w14:textId="77777777" w:rsidR="00023670" w:rsidRPr="009A2D96" w:rsidRDefault="00023670" w:rsidP="00C31DD1">
            <w:pPr>
              <w:contextualSpacing/>
              <w:rPr>
                <w:b/>
              </w:rPr>
            </w:pPr>
            <w:r w:rsidRPr="00A96E76">
              <w:rPr>
                <w:b/>
              </w:rPr>
              <w:lastRenderedPageBreak/>
              <w:t>Standard 5: Teachers reflect on their practice</w:t>
            </w:r>
          </w:p>
        </w:tc>
      </w:tr>
      <w:tr w:rsidR="00023670" w14:paraId="1C65AC11" w14:textId="77777777" w:rsidTr="0088745D">
        <w:trPr>
          <w:jc w:val="center"/>
        </w:trPr>
        <w:tc>
          <w:tcPr>
            <w:tcW w:w="1981" w:type="dxa"/>
            <w:gridSpan w:val="2"/>
            <w:shd w:val="clear" w:color="auto" w:fill="auto"/>
          </w:tcPr>
          <w:p w14:paraId="6E83BA5D" w14:textId="77777777" w:rsidR="00AC60DC" w:rsidRPr="00A96E76" w:rsidRDefault="00AC60DC" w:rsidP="00A06364">
            <w:pPr>
              <w:contextualSpacing/>
            </w:pPr>
            <w:r w:rsidRPr="00A96E76">
              <w:t>A. Teachers analyze student learning.</w:t>
            </w:r>
          </w:p>
        </w:tc>
        <w:tc>
          <w:tcPr>
            <w:tcW w:w="1339" w:type="dxa"/>
            <w:shd w:val="clear" w:color="auto" w:fill="auto"/>
          </w:tcPr>
          <w:p w14:paraId="4E9162BE" w14:textId="77777777" w:rsidR="00AC60DC" w:rsidRPr="00A30C2D" w:rsidRDefault="00023670" w:rsidP="00A06364">
            <w:pPr>
              <w:contextualSpacing/>
              <w:jc w:val="center"/>
            </w:pPr>
            <w:r>
              <w:t>1.93</w:t>
            </w:r>
          </w:p>
        </w:tc>
        <w:tc>
          <w:tcPr>
            <w:tcW w:w="1344" w:type="dxa"/>
            <w:shd w:val="clear" w:color="auto" w:fill="auto"/>
          </w:tcPr>
          <w:p w14:paraId="3A85EEA9" w14:textId="77777777" w:rsidR="00AC60DC" w:rsidRPr="00A30C2D" w:rsidRDefault="00AC60DC" w:rsidP="00A06364">
            <w:pPr>
              <w:contextualSpacing/>
              <w:jc w:val="center"/>
            </w:pPr>
            <w:r>
              <w:t>2.14</w:t>
            </w:r>
          </w:p>
        </w:tc>
        <w:tc>
          <w:tcPr>
            <w:tcW w:w="1344" w:type="dxa"/>
            <w:shd w:val="clear" w:color="auto" w:fill="auto"/>
          </w:tcPr>
          <w:p w14:paraId="3F21A8DB" w14:textId="77777777" w:rsidR="00AC60DC" w:rsidRPr="00A30C2D" w:rsidRDefault="00023670" w:rsidP="00A06364">
            <w:pPr>
              <w:contextualSpacing/>
              <w:jc w:val="center"/>
            </w:pPr>
            <w:r>
              <w:t>2.50</w:t>
            </w:r>
          </w:p>
        </w:tc>
        <w:tc>
          <w:tcPr>
            <w:tcW w:w="993" w:type="dxa"/>
            <w:shd w:val="clear" w:color="auto" w:fill="D9D9D9" w:themeFill="background1" w:themeFillShade="D9"/>
          </w:tcPr>
          <w:p w14:paraId="09579CC6" w14:textId="77777777" w:rsidR="00AC60DC" w:rsidRDefault="005E268C" w:rsidP="00A06364">
            <w:pPr>
              <w:contextualSpacing/>
              <w:jc w:val="center"/>
            </w:pPr>
            <w:r>
              <w:t>0.36</w:t>
            </w:r>
          </w:p>
        </w:tc>
        <w:tc>
          <w:tcPr>
            <w:tcW w:w="1344" w:type="dxa"/>
            <w:shd w:val="clear" w:color="auto" w:fill="auto"/>
          </w:tcPr>
          <w:p w14:paraId="012608C9" w14:textId="77777777" w:rsidR="00AC60DC" w:rsidRPr="00A30C2D" w:rsidRDefault="00AC60DC" w:rsidP="00A06364">
            <w:pPr>
              <w:contextualSpacing/>
              <w:jc w:val="center"/>
            </w:pPr>
            <w:r>
              <w:t>2.18</w:t>
            </w:r>
          </w:p>
        </w:tc>
        <w:tc>
          <w:tcPr>
            <w:tcW w:w="1320" w:type="dxa"/>
            <w:shd w:val="clear" w:color="auto" w:fill="auto"/>
          </w:tcPr>
          <w:p w14:paraId="2B2BCAFB" w14:textId="77777777" w:rsidR="00AC60DC" w:rsidRPr="00A30C2D" w:rsidRDefault="00AC60DC" w:rsidP="00A06364">
            <w:pPr>
              <w:contextualSpacing/>
              <w:jc w:val="center"/>
            </w:pPr>
            <w:r>
              <w:t>2.61</w:t>
            </w:r>
          </w:p>
        </w:tc>
        <w:tc>
          <w:tcPr>
            <w:tcW w:w="992" w:type="dxa"/>
            <w:shd w:val="clear" w:color="auto" w:fill="D9D9D9" w:themeFill="background1" w:themeFillShade="D9"/>
          </w:tcPr>
          <w:p w14:paraId="4A16CF5C" w14:textId="77777777" w:rsidR="00AC60DC" w:rsidRPr="00A30C2D" w:rsidRDefault="00AC60DC" w:rsidP="00A06364">
            <w:pPr>
              <w:contextualSpacing/>
              <w:jc w:val="center"/>
            </w:pPr>
            <w:r>
              <w:t>0.43</w:t>
            </w:r>
          </w:p>
        </w:tc>
        <w:tc>
          <w:tcPr>
            <w:tcW w:w="1324" w:type="dxa"/>
            <w:shd w:val="clear" w:color="auto" w:fill="auto"/>
          </w:tcPr>
          <w:p w14:paraId="681DC909" w14:textId="77777777" w:rsidR="00AC60DC" w:rsidRPr="00A30C2D" w:rsidRDefault="00AC60DC" w:rsidP="00A06364">
            <w:pPr>
              <w:contextualSpacing/>
              <w:jc w:val="center"/>
            </w:pPr>
            <w:r>
              <w:t>2.85</w:t>
            </w:r>
          </w:p>
        </w:tc>
        <w:tc>
          <w:tcPr>
            <w:tcW w:w="969" w:type="dxa"/>
            <w:shd w:val="clear" w:color="auto" w:fill="D9D9D9" w:themeFill="background1" w:themeFillShade="D9"/>
          </w:tcPr>
          <w:p w14:paraId="59B640E0" w14:textId="77777777" w:rsidR="00AC60DC" w:rsidRDefault="0088745D" w:rsidP="00A06364">
            <w:pPr>
              <w:contextualSpacing/>
              <w:jc w:val="center"/>
            </w:pPr>
            <w:r>
              <w:t>0.24/</w:t>
            </w:r>
          </w:p>
          <w:p w14:paraId="3FE3ACB7" w14:textId="77777777" w:rsidR="0088745D" w:rsidRPr="00A30C2D" w:rsidRDefault="0088745D" w:rsidP="00A06364">
            <w:pPr>
              <w:contextualSpacing/>
              <w:jc w:val="center"/>
            </w:pPr>
            <w:r>
              <w:t>0.67</w:t>
            </w:r>
          </w:p>
        </w:tc>
      </w:tr>
      <w:tr w:rsidR="00023670" w14:paraId="166EFDEA" w14:textId="77777777" w:rsidTr="0088745D">
        <w:trPr>
          <w:jc w:val="center"/>
        </w:trPr>
        <w:tc>
          <w:tcPr>
            <w:tcW w:w="1981" w:type="dxa"/>
            <w:gridSpan w:val="2"/>
            <w:shd w:val="clear" w:color="auto" w:fill="auto"/>
          </w:tcPr>
          <w:p w14:paraId="0386DBE0" w14:textId="77777777" w:rsidR="00AC60DC" w:rsidRPr="00A96E76" w:rsidRDefault="00AC60DC" w:rsidP="00A06364">
            <w:pPr>
              <w:contextualSpacing/>
            </w:pPr>
            <w:r w:rsidRPr="00A96E76">
              <w:t>B. Teachers link professional growth to their professional goals.</w:t>
            </w:r>
          </w:p>
        </w:tc>
        <w:tc>
          <w:tcPr>
            <w:tcW w:w="1339" w:type="dxa"/>
            <w:shd w:val="clear" w:color="auto" w:fill="auto"/>
          </w:tcPr>
          <w:p w14:paraId="67ADCFBA" w14:textId="77777777" w:rsidR="00AC60DC" w:rsidRPr="00A30C2D" w:rsidRDefault="00023670" w:rsidP="00A06364">
            <w:pPr>
              <w:contextualSpacing/>
              <w:jc w:val="center"/>
            </w:pPr>
            <w:r>
              <w:t>2.30</w:t>
            </w:r>
          </w:p>
        </w:tc>
        <w:tc>
          <w:tcPr>
            <w:tcW w:w="1344" w:type="dxa"/>
            <w:shd w:val="clear" w:color="auto" w:fill="auto"/>
          </w:tcPr>
          <w:p w14:paraId="12070AFC" w14:textId="77777777" w:rsidR="00AC60DC" w:rsidRPr="00A30C2D" w:rsidRDefault="00AC60DC" w:rsidP="00A06364">
            <w:pPr>
              <w:contextualSpacing/>
              <w:jc w:val="center"/>
            </w:pPr>
            <w:r>
              <w:t>2.60</w:t>
            </w:r>
          </w:p>
        </w:tc>
        <w:tc>
          <w:tcPr>
            <w:tcW w:w="1344" w:type="dxa"/>
            <w:shd w:val="clear" w:color="auto" w:fill="auto"/>
          </w:tcPr>
          <w:p w14:paraId="333D150D" w14:textId="77777777" w:rsidR="00AC60DC" w:rsidRPr="00A30C2D" w:rsidRDefault="00023670" w:rsidP="00A06364">
            <w:pPr>
              <w:contextualSpacing/>
              <w:jc w:val="center"/>
            </w:pPr>
            <w:r>
              <w:t>2.97</w:t>
            </w:r>
          </w:p>
        </w:tc>
        <w:tc>
          <w:tcPr>
            <w:tcW w:w="993" w:type="dxa"/>
            <w:shd w:val="clear" w:color="auto" w:fill="D9D9D9" w:themeFill="background1" w:themeFillShade="D9"/>
          </w:tcPr>
          <w:p w14:paraId="495D73B5" w14:textId="77777777" w:rsidR="00AC60DC" w:rsidRDefault="005E268C" w:rsidP="00A06364">
            <w:pPr>
              <w:contextualSpacing/>
              <w:jc w:val="center"/>
            </w:pPr>
            <w:r>
              <w:t>0.37</w:t>
            </w:r>
          </w:p>
        </w:tc>
        <w:tc>
          <w:tcPr>
            <w:tcW w:w="1344" w:type="dxa"/>
            <w:shd w:val="clear" w:color="auto" w:fill="auto"/>
          </w:tcPr>
          <w:p w14:paraId="212CB462" w14:textId="77777777" w:rsidR="00AC60DC" w:rsidRPr="00A30C2D" w:rsidRDefault="00AC60DC" w:rsidP="00A06364">
            <w:pPr>
              <w:contextualSpacing/>
              <w:jc w:val="center"/>
            </w:pPr>
            <w:r>
              <w:t>2.32</w:t>
            </w:r>
          </w:p>
        </w:tc>
        <w:tc>
          <w:tcPr>
            <w:tcW w:w="1320" w:type="dxa"/>
            <w:shd w:val="clear" w:color="auto" w:fill="auto"/>
          </w:tcPr>
          <w:p w14:paraId="4B10CDF8" w14:textId="77777777" w:rsidR="00AC60DC" w:rsidRPr="00A30C2D" w:rsidRDefault="00AC60DC" w:rsidP="00A06364">
            <w:pPr>
              <w:contextualSpacing/>
              <w:jc w:val="center"/>
            </w:pPr>
            <w:r>
              <w:t>2.81</w:t>
            </w:r>
          </w:p>
        </w:tc>
        <w:tc>
          <w:tcPr>
            <w:tcW w:w="992" w:type="dxa"/>
            <w:shd w:val="clear" w:color="auto" w:fill="D9D9D9" w:themeFill="background1" w:themeFillShade="D9"/>
          </w:tcPr>
          <w:p w14:paraId="5EBA900A" w14:textId="77777777" w:rsidR="00AC60DC" w:rsidRPr="00A30C2D" w:rsidRDefault="00AC60DC" w:rsidP="00A06364">
            <w:pPr>
              <w:contextualSpacing/>
              <w:jc w:val="center"/>
            </w:pPr>
            <w:r>
              <w:t>0.49</w:t>
            </w:r>
          </w:p>
        </w:tc>
        <w:tc>
          <w:tcPr>
            <w:tcW w:w="1324" w:type="dxa"/>
            <w:shd w:val="clear" w:color="auto" w:fill="auto"/>
          </w:tcPr>
          <w:p w14:paraId="3634AD85" w14:textId="77777777" w:rsidR="00AC60DC" w:rsidRPr="00A30C2D" w:rsidRDefault="00AC60DC" w:rsidP="00A06364">
            <w:pPr>
              <w:contextualSpacing/>
              <w:jc w:val="center"/>
            </w:pPr>
            <w:r>
              <w:t>3.08</w:t>
            </w:r>
          </w:p>
        </w:tc>
        <w:tc>
          <w:tcPr>
            <w:tcW w:w="969" w:type="dxa"/>
            <w:shd w:val="clear" w:color="auto" w:fill="D9D9D9" w:themeFill="background1" w:themeFillShade="D9"/>
          </w:tcPr>
          <w:p w14:paraId="1DF191A6" w14:textId="77777777" w:rsidR="00AC60DC" w:rsidRDefault="0088745D" w:rsidP="00A06364">
            <w:pPr>
              <w:contextualSpacing/>
              <w:jc w:val="center"/>
            </w:pPr>
            <w:r>
              <w:t>0.27/</w:t>
            </w:r>
          </w:p>
          <w:p w14:paraId="576D47F9" w14:textId="77777777" w:rsidR="0088745D" w:rsidRPr="00A30C2D" w:rsidRDefault="0088745D" w:rsidP="00A06364">
            <w:pPr>
              <w:contextualSpacing/>
              <w:jc w:val="center"/>
            </w:pPr>
            <w:r>
              <w:t>0.76</w:t>
            </w:r>
          </w:p>
        </w:tc>
      </w:tr>
      <w:tr w:rsidR="00023670" w14:paraId="41D6D27B" w14:textId="77777777" w:rsidTr="0088745D">
        <w:trPr>
          <w:jc w:val="center"/>
        </w:trPr>
        <w:tc>
          <w:tcPr>
            <w:tcW w:w="1981" w:type="dxa"/>
            <w:gridSpan w:val="2"/>
            <w:shd w:val="clear" w:color="auto" w:fill="auto"/>
          </w:tcPr>
          <w:p w14:paraId="3B0FC769" w14:textId="77777777" w:rsidR="00AC60DC" w:rsidRPr="00A96E76" w:rsidRDefault="00AC60DC" w:rsidP="00A06364">
            <w:pPr>
              <w:contextualSpacing/>
            </w:pPr>
            <w:r w:rsidRPr="00A96E76">
              <w:t>C. Teachers function effectively in a complex, dynamic environment.</w:t>
            </w:r>
          </w:p>
        </w:tc>
        <w:tc>
          <w:tcPr>
            <w:tcW w:w="1339" w:type="dxa"/>
            <w:shd w:val="clear" w:color="auto" w:fill="auto"/>
          </w:tcPr>
          <w:p w14:paraId="6761D2F8" w14:textId="77777777" w:rsidR="00AC60DC" w:rsidRPr="00A30C2D" w:rsidRDefault="00023670" w:rsidP="00A06364">
            <w:pPr>
              <w:contextualSpacing/>
              <w:jc w:val="center"/>
            </w:pPr>
            <w:r>
              <w:t>1.81</w:t>
            </w:r>
          </w:p>
        </w:tc>
        <w:tc>
          <w:tcPr>
            <w:tcW w:w="1344" w:type="dxa"/>
            <w:shd w:val="clear" w:color="auto" w:fill="auto"/>
          </w:tcPr>
          <w:p w14:paraId="2EE76D67" w14:textId="77777777" w:rsidR="00AC60DC" w:rsidRPr="00A30C2D" w:rsidRDefault="00AC60DC" w:rsidP="00A06364">
            <w:pPr>
              <w:contextualSpacing/>
              <w:jc w:val="center"/>
            </w:pPr>
            <w:r>
              <w:t>1.98</w:t>
            </w:r>
          </w:p>
        </w:tc>
        <w:tc>
          <w:tcPr>
            <w:tcW w:w="1344" w:type="dxa"/>
            <w:shd w:val="clear" w:color="auto" w:fill="auto"/>
          </w:tcPr>
          <w:p w14:paraId="7F5CE52D" w14:textId="77777777" w:rsidR="00AC60DC" w:rsidRPr="00A30C2D" w:rsidRDefault="00023670" w:rsidP="00A06364">
            <w:pPr>
              <w:contextualSpacing/>
              <w:jc w:val="center"/>
            </w:pPr>
            <w:r>
              <w:t>2.56</w:t>
            </w:r>
          </w:p>
        </w:tc>
        <w:tc>
          <w:tcPr>
            <w:tcW w:w="993" w:type="dxa"/>
            <w:shd w:val="clear" w:color="auto" w:fill="D9D9D9" w:themeFill="background1" w:themeFillShade="D9"/>
          </w:tcPr>
          <w:p w14:paraId="29D0EA9B" w14:textId="77777777" w:rsidR="00AC60DC" w:rsidRDefault="005E268C" w:rsidP="00A06364">
            <w:pPr>
              <w:contextualSpacing/>
              <w:jc w:val="center"/>
            </w:pPr>
            <w:r>
              <w:t>0.58</w:t>
            </w:r>
          </w:p>
        </w:tc>
        <w:tc>
          <w:tcPr>
            <w:tcW w:w="1344" w:type="dxa"/>
            <w:shd w:val="clear" w:color="auto" w:fill="auto"/>
          </w:tcPr>
          <w:p w14:paraId="4EC50E81" w14:textId="77777777" w:rsidR="00AC60DC" w:rsidRPr="00A30C2D" w:rsidRDefault="00AC60DC" w:rsidP="00A06364">
            <w:pPr>
              <w:contextualSpacing/>
              <w:jc w:val="center"/>
            </w:pPr>
            <w:r>
              <w:t>1.94</w:t>
            </w:r>
          </w:p>
        </w:tc>
        <w:tc>
          <w:tcPr>
            <w:tcW w:w="1320" w:type="dxa"/>
            <w:shd w:val="clear" w:color="auto" w:fill="auto"/>
          </w:tcPr>
          <w:p w14:paraId="78CA4EAA" w14:textId="77777777" w:rsidR="00AC60DC" w:rsidRPr="00A30C2D" w:rsidRDefault="00AC60DC" w:rsidP="00A06364">
            <w:pPr>
              <w:contextualSpacing/>
              <w:jc w:val="center"/>
            </w:pPr>
            <w:r>
              <w:t>2.39</w:t>
            </w:r>
          </w:p>
        </w:tc>
        <w:tc>
          <w:tcPr>
            <w:tcW w:w="992" w:type="dxa"/>
            <w:shd w:val="clear" w:color="auto" w:fill="D9D9D9" w:themeFill="background1" w:themeFillShade="D9"/>
          </w:tcPr>
          <w:p w14:paraId="0438CDDE" w14:textId="77777777" w:rsidR="00AC60DC" w:rsidRPr="00A30C2D" w:rsidRDefault="00AC60DC" w:rsidP="00A06364">
            <w:pPr>
              <w:contextualSpacing/>
              <w:jc w:val="center"/>
            </w:pPr>
            <w:r>
              <w:t>0.45</w:t>
            </w:r>
          </w:p>
        </w:tc>
        <w:tc>
          <w:tcPr>
            <w:tcW w:w="1324" w:type="dxa"/>
            <w:shd w:val="clear" w:color="auto" w:fill="auto"/>
          </w:tcPr>
          <w:p w14:paraId="123E65BD" w14:textId="77777777" w:rsidR="00AC60DC" w:rsidRPr="00A30C2D" w:rsidRDefault="00AC60DC" w:rsidP="00A06364">
            <w:pPr>
              <w:contextualSpacing/>
              <w:jc w:val="center"/>
            </w:pPr>
            <w:r>
              <w:t>2.54</w:t>
            </w:r>
          </w:p>
        </w:tc>
        <w:tc>
          <w:tcPr>
            <w:tcW w:w="969" w:type="dxa"/>
            <w:shd w:val="clear" w:color="auto" w:fill="D9D9D9" w:themeFill="background1" w:themeFillShade="D9"/>
          </w:tcPr>
          <w:p w14:paraId="7ED1BDF3" w14:textId="77777777" w:rsidR="00AC60DC" w:rsidRDefault="0088745D" w:rsidP="00A06364">
            <w:pPr>
              <w:contextualSpacing/>
              <w:jc w:val="center"/>
            </w:pPr>
            <w:r>
              <w:t>0.15/</w:t>
            </w:r>
          </w:p>
          <w:p w14:paraId="4F711F9E" w14:textId="77777777" w:rsidR="0088745D" w:rsidRPr="00A30C2D" w:rsidRDefault="0088745D" w:rsidP="00A06364">
            <w:pPr>
              <w:contextualSpacing/>
              <w:jc w:val="center"/>
            </w:pPr>
            <w:r>
              <w:t>0.60</w:t>
            </w:r>
          </w:p>
        </w:tc>
      </w:tr>
      <w:tr w:rsidR="00023670" w14:paraId="53BE05F6" w14:textId="77777777" w:rsidTr="0088745D">
        <w:trPr>
          <w:jc w:val="center"/>
        </w:trPr>
        <w:tc>
          <w:tcPr>
            <w:tcW w:w="1981" w:type="dxa"/>
            <w:gridSpan w:val="2"/>
            <w:shd w:val="clear" w:color="auto" w:fill="auto"/>
          </w:tcPr>
          <w:p w14:paraId="6955899B" w14:textId="77777777" w:rsidR="00AC60DC" w:rsidRPr="00A96E76" w:rsidRDefault="00AC60DC" w:rsidP="00A06364">
            <w:pPr>
              <w:contextualSpacing/>
            </w:pPr>
            <w:r w:rsidRPr="00A96E76">
              <w:t>Overall rating for Teachers Reflect on Their Practice</w:t>
            </w:r>
          </w:p>
        </w:tc>
        <w:tc>
          <w:tcPr>
            <w:tcW w:w="1339" w:type="dxa"/>
            <w:shd w:val="clear" w:color="auto" w:fill="auto"/>
          </w:tcPr>
          <w:p w14:paraId="118CDFBF" w14:textId="77777777" w:rsidR="00AC60DC" w:rsidRPr="00A30C2D" w:rsidRDefault="00023670" w:rsidP="00A06364">
            <w:pPr>
              <w:contextualSpacing/>
              <w:jc w:val="center"/>
            </w:pPr>
            <w:r>
              <w:t>1.91</w:t>
            </w:r>
          </w:p>
        </w:tc>
        <w:tc>
          <w:tcPr>
            <w:tcW w:w="1344" w:type="dxa"/>
            <w:shd w:val="clear" w:color="auto" w:fill="auto"/>
          </w:tcPr>
          <w:p w14:paraId="64704D18" w14:textId="77777777" w:rsidR="00AC60DC" w:rsidRPr="00A30C2D" w:rsidRDefault="00AC60DC" w:rsidP="00A06364">
            <w:pPr>
              <w:contextualSpacing/>
              <w:jc w:val="center"/>
            </w:pPr>
            <w:r>
              <w:t>2.12</w:t>
            </w:r>
          </w:p>
        </w:tc>
        <w:tc>
          <w:tcPr>
            <w:tcW w:w="1344" w:type="dxa"/>
            <w:shd w:val="clear" w:color="auto" w:fill="auto"/>
          </w:tcPr>
          <w:p w14:paraId="434A8017" w14:textId="77777777" w:rsidR="00AC60DC" w:rsidRPr="00A30C2D" w:rsidRDefault="00023670" w:rsidP="00A06364">
            <w:pPr>
              <w:contextualSpacing/>
              <w:jc w:val="center"/>
            </w:pPr>
            <w:r>
              <w:t>2.63</w:t>
            </w:r>
          </w:p>
        </w:tc>
        <w:tc>
          <w:tcPr>
            <w:tcW w:w="993" w:type="dxa"/>
            <w:shd w:val="clear" w:color="auto" w:fill="D9D9D9" w:themeFill="background1" w:themeFillShade="D9"/>
          </w:tcPr>
          <w:p w14:paraId="1C20BB30" w14:textId="77777777" w:rsidR="00AC60DC" w:rsidRDefault="005E268C" w:rsidP="00A06364">
            <w:pPr>
              <w:contextualSpacing/>
              <w:jc w:val="center"/>
            </w:pPr>
            <w:r>
              <w:t>0.51</w:t>
            </w:r>
          </w:p>
        </w:tc>
        <w:tc>
          <w:tcPr>
            <w:tcW w:w="1344" w:type="dxa"/>
            <w:shd w:val="clear" w:color="auto" w:fill="auto"/>
          </w:tcPr>
          <w:p w14:paraId="2EB9E932" w14:textId="77777777" w:rsidR="00AC60DC" w:rsidRPr="00A30C2D" w:rsidRDefault="00AC60DC" w:rsidP="00A06364">
            <w:pPr>
              <w:contextualSpacing/>
              <w:jc w:val="center"/>
            </w:pPr>
            <w:r>
              <w:t>2.21</w:t>
            </w:r>
          </w:p>
        </w:tc>
        <w:tc>
          <w:tcPr>
            <w:tcW w:w="1320" w:type="dxa"/>
            <w:shd w:val="clear" w:color="auto" w:fill="auto"/>
          </w:tcPr>
          <w:p w14:paraId="2D33E4F4" w14:textId="77777777" w:rsidR="00AC60DC" w:rsidRPr="00A30C2D" w:rsidRDefault="00AC60DC" w:rsidP="00A06364">
            <w:pPr>
              <w:contextualSpacing/>
              <w:jc w:val="center"/>
            </w:pPr>
            <w:r>
              <w:t>2.58</w:t>
            </w:r>
          </w:p>
        </w:tc>
        <w:tc>
          <w:tcPr>
            <w:tcW w:w="992" w:type="dxa"/>
            <w:shd w:val="clear" w:color="auto" w:fill="D9D9D9" w:themeFill="background1" w:themeFillShade="D9"/>
          </w:tcPr>
          <w:p w14:paraId="3AE32A8D" w14:textId="77777777" w:rsidR="00AC60DC" w:rsidRPr="00A30C2D" w:rsidRDefault="00AC60DC" w:rsidP="00A06364">
            <w:pPr>
              <w:contextualSpacing/>
              <w:jc w:val="center"/>
            </w:pPr>
            <w:r>
              <w:t>0.37</w:t>
            </w:r>
          </w:p>
        </w:tc>
        <w:tc>
          <w:tcPr>
            <w:tcW w:w="1324" w:type="dxa"/>
            <w:shd w:val="clear" w:color="auto" w:fill="auto"/>
          </w:tcPr>
          <w:p w14:paraId="37E428C2" w14:textId="77777777" w:rsidR="00AC60DC" w:rsidRPr="00A30C2D" w:rsidRDefault="00AC60DC" w:rsidP="00A06364">
            <w:pPr>
              <w:contextualSpacing/>
              <w:jc w:val="center"/>
            </w:pPr>
            <w:r>
              <w:t>2.85</w:t>
            </w:r>
          </w:p>
        </w:tc>
        <w:tc>
          <w:tcPr>
            <w:tcW w:w="969" w:type="dxa"/>
            <w:shd w:val="clear" w:color="auto" w:fill="D9D9D9" w:themeFill="background1" w:themeFillShade="D9"/>
          </w:tcPr>
          <w:p w14:paraId="46FC6388" w14:textId="77777777" w:rsidR="00AC60DC" w:rsidRDefault="0088745D" w:rsidP="00A06364">
            <w:pPr>
              <w:contextualSpacing/>
              <w:jc w:val="center"/>
            </w:pPr>
            <w:r>
              <w:t>0.27/</w:t>
            </w:r>
          </w:p>
          <w:p w14:paraId="5B833611" w14:textId="77777777" w:rsidR="0088745D" w:rsidRPr="00A30C2D" w:rsidRDefault="0088745D" w:rsidP="00A06364">
            <w:pPr>
              <w:contextualSpacing/>
              <w:jc w:val="center"/>
            </w:pPr>
            <w:r>
              <w:t>0.64</w:t>
            </w:r>
          </w:p>
        </w:tc>
      </w:tr>
    </w:tbl>
    <w:p w14:paraId="3BF79BC3" w14:textId="77777777" w:rsidR="000037D7" w:rsidRPr="009A2D96" w:rsidRDefault="000037D7" w:rsidP="000037D7">
      <w:pPr>
        <w:spacing w:line="240" w:lineRule="auto"/>
        <w:contextualSpacing/>
        <w:rPr>
          <w:sz w:val="28"/>
          <w:szCs w:val="28"/>
        </w:rPr>
      </w:pPr>
    </w:p>
    <w:p w14:paraId="251F692C" w14:textId="77777777" w:rsidR="005D007E" w:rsidRDefault="005D007E" w:rsidP="005D007E">
      <w:pPr>
        <w:spacing w:line="240" w:lineRule="auto"/>
        <w:contextualSpacing/>
        <w:rPr>
          <w:b/>
          <w:sz w:val="24"/>
          <w:szCs w:val="24"/>
        </w:rPr>
      </w:pPr>
    </w:p>
    <w:p w14:paraId="411294F3" w14:textId="77777777" w:rsidR="000037D7" w:rsidRDefault="000037D7" w:rsidP="005D007E">
      <w:pPr>
        <w:spacing w:line="240" w:lineRule="auto"/>
        <w:contextualSpacing/>
        <w:rPr>
          <w:b/>
          <w:sz w:val="24"/>
          <w:szCs w:val="24"/>
        </w:rPr>
      </w:pPr>
    </w:p>
    <w:p w14:paraId="312E5DFB" w14:textId="77777777" w:rsidR="00E911C8" w:rsidRPr="009303C7" w:rsidRDefault="00E911C8" w:rsidP="00E911C8">
      <w:pPr>
        <w:autoSpaceDE w:val="0"/>
        <w:autoSpaceDN w:val="0"/>
        <w:adjustRightInd w:val="0"/>
        <w:spacing w:after="0" w:line="400" w:lineRule="atLeast"/>
        <w:rPr>
          <w:rFonts w:ascii="Times New Roman" w:hAnsi="Times New Roman" w:cs="Times New Roman"/>
          <w:sz w:val="24"/>
          <w:szCs w:val="24"/>
        </w:rPr>
      </w:pPr>
    </w:p>
    <w:sectPr w:rsidR="00E911C8" w:rsidRPr="009303C7" w:rsidSect="009A2D9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0BDD"/>
    <w:multiLevelType w:val="hybridMultilevel"/>
    <w:tmpl w:val="81A2B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96"/>
    <w:rsid w:val="000037D7"/>
    <w:rsid w:val="00023670"/>
    <w:rsid w:val="00041536"/>
    <w:rsid w:val="00041F18"/>
    <w:rsid w:val="000D099A"/>
    <w:rsid w:val="000D2F1D"/>
    <w:rsid w:val="00126440"/>
    <w:rsid w:val="001B6F83"/>
    <w:rsid w:val="001C6932"/>
    <w:rsid w:val="002E663A"/>
    <w:rsid w:val="00330F1A"/>
    <w:rsid w:val="003624A5"/>
    <w:rsid w:val="00364D3E"/>
    <w:rsid w:val="003B523C"/>
    <w:rsid w:val="003D686E"/>
    <w:rsid w:val="003F0B22"/>
    <w:rsid w:val="0040446B"/>
    <w:rsid w:val="004155D7"/>
    <w:rsid w:val="004522D2"/>
    <w:rsid w:val="004902F3"/>
    <w:rsid w:val="00492211"/>
    <w:rsid w:val="00542984"/>
    <w:rsid w:val="005B149C"/>
    <w:rsid w:val="005C0F95"/>
    <w:rsid w:val="005D007E"/>
    <w:rsid w:val="005E268C"/>
    <w:rsid w:val="005F47A0"/>
    <w:rsid w:val="00607AD4"/>
    <w:rsid w:val="006620D7"/>
    <w:rsid w:val="00666FF5"/>
    <w:rsid w:val="00677F36"/>
    <w:rsid w:val="006D060B"/>
    <w:rsid w:val="00705BC6"/>
    <w:rsid w:val="007C4E01"/>
    <w:rsid w:val="00812041"/>
    <w:rsid w:val="00863CAC"/>
    <w:rsid w:val="0088745D"/>
    <w:rsid w:val="009303C7"/>
    <w:rsid w:val="00933B6B"/>
    <w:rsid w:val="00934352"/>
    <w:rsid w:val="00941A82"/>
    <w:rsid w:val="0098573F"/>
    <w:rsid w:val="009A2D96"/>
    <w:rsid w:val="009A3AA6"/>
    <w:rsid w:val="00A01764"/>
    <w:rsid w:val="00A06364"/>
    <w:rsid w:val="00A30C2D"/>
    <w:rsid w:val="00A45238"/>
    <w:rsid w:val="00A96E76"/>
    <w:rsid w:val="00AC60DC"/>
    <w:rsid w:val="00B45637"/>
    <w:rsid w:val="00B72466"/>
    <w:rsid w:val="00B8443B"/>
    <w:rsid w:val="00C31DD1"/>
    <w:rsid w:val="00C4675F"/>
    <w:rsid w:val="00C97451"/>
    <w:rsid w:val="00DC778C"/>
    <w:rsid w:val="00DD6DFF"/>
    <w:rsid w:val="00DE2322"/>
    <w:rsid w:val="00E52E7B"/>
    <w:rsid w:val="00E911C8"/>
    <w:rsid w:val="00E93D68"/>
    <w:rsid w:val="00E941FE"/>
    <w:rsid w:val="00F1458A"/>
    <w:rsid w:val="00F5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353F"/>
  <w15:chartTrackingRefBased/>
  <w15:docId w15:val="{F9C8E701-1F9F-4ED6-96E5-181D8BEA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DD1"/>
    <w:rPr>
      <w:color w:val="0563C1" w:themeColor="hyperlink"/>
      <w:u w:val="single"/>
    </w:rPr>
  </w:style>
  <w:style w:type="paragraph" w:styleId="ListParagraph">
    <w:name w:val="List Paragraph"/>
    <w:basedOn w:val="Normal"/>
    <w:uiPriority w:val="34"/>
    <w:qFormat/>
    <w:rsid w:val="004155D7"/>
    <w:pPr>
      <w:ind w:left="720"/>
      <w:contextualSpacing/>
    </w:pPr>
  </w:style>
  <w:style w:type="character" w:styleId="CommentReference">
    <w:name w:val="annotation reference"/>
    <w:basedOn w:val="DefaultParagraphFont"/>
    <w:uiPriority w:val="99"/>
    <w:semiHidden/>
    <w:unhideWhenUsed/>
    <w:rsid w:val="00C4675F"/>
    <w:rPr>
      <w:sz w:val="16"/>
      <w:szCs w:val="16"/>
    </w:rPr>
  </w:style>
  <w:style w:type="paragraph" w:styleId="CommentText">
    <w:name w:val="annotation text"/>
    <w:basedOn w:val="Normal"/>
    <w:link w:val="CommentTextChar"/>
    <w:uiPriority w:val="99"/>
    <w:semiHidden/>
    <w:unhideWhenUsed/>
    <w:rsid w:val="00C4675F"/>
    <w:pPr>
      <w:spacing w:line="240" w:lineRule="auto"/>
    </w:pPr>
    <w:rPr>
      <w:sz w:val="20"/>
      <w:szCs w:val="20"/>
    </w:rPr>
  </w:style>
  <w:style w:type="character" w:customStyle="1" w:styleId="CommentTextChar">
    <w:name w:val="Comment Text Char"/>
    <w:basedOn w:val="DefaultParagraphFont"/>
    <w:link w:val="CommentText"/>
    <w:uiPriority w:val="99"/>
    <w:semiHidden/>
    <w:rsid w:val="00C4675F"/>
    <w:rPr>
      <w:sz w:val="20"/>
      <w:szCs w:val="20"/>
    </w:rPr>
  </w:style>
  <w:style w:type="paragraph" w:styleId="CommentSubject">
    <w:name w:val="annotation subject"/>
    <w:basedOn w:val="CommentText"/>
    <w:next w:val="CommentText"/>
    <w:link w:val="CommentSubjectChar"/>
    <w:uiPriority w:val="99"/>
    <w:semiHidden/>
    <w:unhideWhenUsed/>
    <w:rsid w:val="00C4675F"/>
    <w:rPr>
      <w:b/>
      <w:bCs/>
    </w:rPr>
  </w:style>
  <w:style w:type="character" w:customStyle="1" w:styleId="CommentSubjectChar">
    <w:name w:val="Comment Subject Char"/>
    <w:basedOn w:val="CommentTextChar"/>
    <w:link w:val="CommentSubject"/>
    <w:uiPriority w:val="99"/>
    <w:semiHidden/>
    <w:rsid w:val="00C4675F"/>
    <w:rPr>
      <w:b/>
      <w:bCs/>
      <w:sz w:val="20"/>
      <w:szCs w:val="20"/>
    </w:rPr>
  </w:style>
  <w:style w:type="paragraph" w:styleId="BalloonText">
    <w:name w:val="Balloon Text"/>
    <w:basedOn w:val="Normal"/>
    <w:link w:val="BalloonTextChar"/>
    <w:uiPriority w:val="99"/>
    <w:semiHidden/>
    <w:unhideWhenUsed/>
    <w:rsid w:val="00C46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4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keviewschools.net/uploads/McREL/McREL_TeacherRubricSystem%20FINAL%2007_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Brewer</dc:creator>
  <cp:keywords/>
  <dc:description/>
  <cp:lastModifiedBy>Terri Kaiser</cp:lastModifiedBy>
  <cp:revision>2</cp:revision>
  <dcterms:created xsi:type="dcterms:W3CDTF">2019-04-18T17:36:00Z</dcterms:created>
  <dcterms:modified xsi:type="dcterms:W3CDTF">2019-04-18T17:36:00Z</dcterms:modified>
</cp:coreProperties>
</file>